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9BDC" w14:textId="2430D672" w:rsidR="005A7ED7" w:rsidRDefault="007C7738" w:rsidP="008267FD">
      <w:pPr>
        <w:pStyle w:val="Title"/>
        <w:rPr>
          <w:lang w:val="en-GB"/>
        </w:rPr>
      </w:pPr>
      <w:r w:rsidRPr="00014F12">
        <w:rPr>
          <w:lang w:val="en-GB"/>
        </w:rPr>
        <w:t xml:space="preserve">Jobs </w:t>
      </w:r>
      <w:r>
        <w:rPr>
          <w:lang w:val="en-GB"/>
        </w:rPr>
        <w:t>V</w:t>
      </w:r>
      <w:r w:rsidRPr="00014F12">
        <w:rPr>
          <w:lang w:val="en-GB"/>
        </w:rPr>
        <w:t xml:space="preserve">ictoria </w:t>
      </w:r>
      <w:r>
        <w:rPr>
          <w:lang w:val="en-GB"/>
        </w:rPr>
        <w:t>F</w:t>
      </w:r>
      <w:r w:rsidRPr="00014F12">
        <w:rPr>
          <w:lang w:val="en-GB"/>
        </w:rPr>
        <w:t>und guidelines</w:t>
      </w:r>
    </w:p>
    <w:p w14:paraId="70E9CA70" w14:textId="391EA352" w:rsidR="004A7F88" w:rsidRDefault="004A7F88">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r>
        <w:rPr>
          <w:lang w:val="en-GB"/>
        </w:rPr>
        <w:fldChar w:fldCharType="begin"/>
      </w:r>
      <w:r>
        <w:rPr>
          <w:lang w:val="en-GB"/>
        </w:rPr>
        <w:instrText xml:space="preserve"> TOC \o "1-2" \h \z \u </w:instrText>
      </w:r>
      <w:r>
        <w:rPr>
          <w:lang w:val="en-GB"/>
        </w:rPr>
        <w:fldChar w:fldCharType="separate"/>
      </w:r>
      <w:hyperlink w:anchor="_Toc67585358" w:history="1">
        <w:r w:rsidRPr="00F04F11">
          <w:rPr>
            <w:rStyle w:val="Hyperlink"/>
            <w:noProof/>
            <w:lang w:val="en-GB"/>
          </w:rPr>
          <w:t>1</w:t>
        </w:r>
        <w:r>
          <w:rPr>
            <w:rFonts w:asciiTheme="minorHAnsi" w:eastAsiaTheme="minorEastAsia" w:hAnsiTheme="minorHAnsi" w:cstheme="minorBidi"/>
            <w:b w:val="0"/>
            <w:noProof/>
            <w:spacing w:val="0"/>
            <w:sz w:val="24"/>
            <w:lang w:val="en-AU" w:eastAsia="en-GB"/>
          </w:rPr>
          <w:tab/>
        </w:r>
        <w:r w:rsidRPr="00F04F11">
          <w:rPr>
            <w:rStyle w:val="Hyperlink"/>
            <w:noProof/>
            <w:lang w:val="en-GB"/>
          </w:rPr>
          <w:t>Background</w:t>
        </w:r>
        <w:r>
          <w:rPr>
            <w:noProof/>
            <w:webHidden/>
          </w:rPr>
          <w:tab/>
        </w:r>
        <w:r>
          <w:rPr>
            <w:noProof/>
            <w:webHidden/>
          </w:rPr>
          <w:fldChar w:fldCharType="begin"/>
        </w:r>
        <w:r>
          <w:rPr>
            <w:noProof/>
            <w:webHidden/>
          </w:rPr>
          <w:instrText xml:space="preserve"> PAGEREF _Toc67585358 \h </w:instrText>
        </w:r>
        <w:r>
          <w:rPr>
            <w:noProof/>
            <w:webHidden/>
          </w:rPr>
        </w:r>
        <w:r>
          <w:rPr>
            <w:noProof/>
            <w:webHidden/>
          </w:rPr>
          <w:fldChar w:fldCharType="separate"/>
        </w:r>
        <w:r>
          <w:rPr>
            <w:noProof/>
            <w:webHidden/>
          </w:rPr>
          <w:t>1</w:t>
        </w:r>
        <w:r>
          <w:rPr>
            <w:noProof/>
            <w:webHidden/>
          </w:rPr>
          <w:fldChar w:fldCharType="end"/>
        </w:r>
      </w:hyperlink>
    </w:p>
    <w:p w14:paraId="54082592" w14:textId="0103A935"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59" w:history="1">
        <w:r w:rsidR="004A7F88" w:rsidRPr="00F04F11">
          <w:rPr>
            <w:rStyle w:val="Hyperlink"/>
            <w:noProof/>
            <w:lang w:val="en-GB"/>
          </w:rPr>
          <w:t>1.1</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Objectives of the Jobs Victoria Fund</w:t>
        </w:r>
        <w:r w:rsidR="004A7F88">
          <w:rPr>
            <w:noProof/>
            <w:webHidden/>
          </w:rPr>
          <w:tab/>
        </w:r>
        <w:r w:rsidR="004A7F88">
          <w:rPr>
            <w:noProof/>
            <w:webHidden/>
          </w:rPr>
          <w:fldChar w:fldCharType="begin"/>
        </w:r>
        <w:r w:rsidR="004A7F88">
          <w:rPr>
            <w:noProof/>
            <w:webHidden/>
          </w:rPr>
          <w:instrText xml:space="preserve"> PAGEREF _Toc67585359 \h </w:instrText>
        </w:r>
        <w:r w:rsidR="004A7F88">
          <w:rPr>
            <w:noProof/>
            <w:webHidden/>
          </w:rPr>
        </w:r>
        <w:r w:rsidR="004A7F88">
          <w:rPr>
            <w:noProof/>
            <w:webHidden/>
          </w:rPr>
          <w:fldChar w:fldCharType="separate"/>
        </w:r>
        <w:r w:rsidR="004A7F88">
          <w:rPr>
            <w:noProof/>
            <w:webHidden/>
          </w:rPr>
          <w:t>1</w:t>
        </w:r>
        <w:r w:rsidR="004A7F88">
          <w:rPr>
            <w:noProof/>
            <w:webHidden/>
          </w:rPr>
          <w:fldChar w:fldCharType="end"/>
        </w:r>
      </w:hyperlink>
    </w:p>
    <w:p w14:paraId="579627AE" w14:textId="19282445"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60" w:history="1">
        <w:r w:rsidR="004A7F88" w:rsidRPr="00F04F11">
          <w:rPr>
            <w:rStyle w:val="Hyperlink"/>
            <w:noProof/>
            <w:lang w:val="en-GB"/>
          </w:rPr>
          <w:t>1.2</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rPr>
          <w:t>Summary</w:t>
        </w:r>
        <w:r w:rsidR="004A7F88" w:rsidRPr="00F04F11">
          <w:rPr>
            <w:rStyle w:val="Hyperlink"/>
            <w:noProof/>
            <w:lang w:val="en-GB"/>
          </w:rPr>
          <w:t xml:space="preserve"> of the employer application process</w:t>
        </w:r>
        <w:r w:rsidR="004A7F88">
          <w:rPr>
            <w:noProof/>
            <w:webHidden/>
          </w:rPr>
          <w:tab/>
        </w:r>
        <w:r w:rsidR="004A7F88">
          <w:rPr>
            <w:noProof/>
            <w:webHidden/>
          </w:rPr>
          <w:fldChar w:fldCharType="begin"/>
        </w:r>
        <w:r w:rsidR="004A7F88">
          <w:rPr>
            <w:noProof/>
            <w:webHidden/>
          </w:rPr>
          <w:instrText xml:space="preserve"> PAGEREF _Toc67585360 \h </w:instrText>
        </w:r>
        <w:r w:rsidR="004A7F88">
          <w:rPr>
            <w:noProof/>
            <w:webHidden/>
          </w:rPr>
        </w:r>
        <w:r w:rsidR="004A7F88">
          <w:rPr>
            <w:noProof/>
            <w:webHidden/>
          </w:rPr>
          <w:fldChar w:fldCharType="separate"/>
        </w:r>
        <w:r w:rsidR="004A7F88">
          <w:rPr>
            <w:noProof/>
            <w:webHidden/>
          </w:rPr>
          <w:t>2</w:t>
        </w:r>
        <w:r w:rsidR="004A7F88">
          <w:rPr>
            <w:noProof/>
            <w:webHidden/>
          </w:rPr>
          <w:fldChar w:fldCharType="end"/>
        </w:r>
      </w:hyperlink>
    </w:p>
    <w:p w14:paraId="367D2FA7" w14:textId="0944FBCE"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61" w:history="1">
        <w:r w:rsidR="004A7F88" w:rsidRPr="00F04F11">
          <w:rPr>
            <w:rStyle w:val="Hyperlink"/>
            <w:noProof/>
            <w:lang w:val="en-GB"/>
          </w:rPr>
          <w:t>1.3</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Audit and compliance</w:t>
        </w:r>
        <w:r w:rsidR="004A7F88">
          <w:rPr>
            <w:noProof/>
            <w:webHidden/>
          </w:rPr>
          <w:tab/>
        </w:r>
        <w:r w:rsidR="004A7F88">
          <w:rPr>
            <w:noProof/>
            <w:webHidden/>
          </w:rPr>
          <w:fldChar w:fldCharType="begin"/>
        </w:r>
        <w:r w:rsidR="004A7F88">
          <w:rPr>
            <w:noProof/>
            <w:webHidden/>
          </w:rPr>
          <w:instrText xml:space="preserve"> PAGEREF _Toc67585361 \h </w:instrText>
        </w:r>
        <w:r w:rsidR="004A7F88">
          <w:rPr>
            <w:noProof/>
            <w:webHidden/>
          </w:rPr>
        </w:r>
        <w:r w:rsidR="004A7F88">
          <w:rPr>
            <w:noProof/>
            <w:webHidden/>
          </w:rPr>
          <w:fldChar w:fldCharType="separate"/>
        </w:r>
        <w:r w:rsidR="004A7F88">
          <w:rPr>
            <w:noProof/>
            <w:webHidden/>
          </w:rPr>
          <w:t>2</w:t>
        </w:r>
        <w:r w:rsidR="004A7F88">
          <w:rPr>
            <w:noProof/>
            <w:webHidden/>
          </w:rPr>
          <w:fldChar w:fldCharType="end"/>
        </w:r>
      </w:hyperlink>
    </w:p>
    <w:p w14:paraId="7B99F3A7" w14:textId="47734695" w:rsidR="004A7F88" w:rsidRDefault="003C12A6">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hyperlink w:anchor="_Toc67585362" w:history="1">
        <w:r w:rsidR="004A7F88" w:rsidRPr="00F04F11">
          <w:rPr>
            <w:rStyle w:val="Hyperlink"/>
            <w:noProof/>
            <w:lang w:val="en-GB"/>
          </w:rPr>
          <w:t>2</w:t>
        </w:r>
        <w:r w:rsidR="004A7F88">
          <w:rPr>
            <w:rFonts w:asciiTheme="minorHAnsi" w:eastAsiaTheme="minorEastAsia" w:hAnsiTheme="minorHAnsi" w:cstheme="minorBidi"/>
            <w:b w:val="0"/>
            <w:noProof/>
            <w:spacing w:val="0"/>
            <w:sz w:val="24"/>
            <w:lang w:val="en-AU" w:eastAsia="en-GB"/>
          </w:rPr>
          <w:tab/>
        </w:r>
        <w:r w:rsidR="004A7F88" w:rsidRPr="00F04F11">
          <w:rPr>
            <w:rStyle w:val="Hyperlink"/>
            <w:noProof/>
            <w:lang w:val="en-GB"/>
          </w:rPr>
          <w:t>Available funding</w:t>
        </w:r>
        <w:r w:rsidR="004A7F88">
          <w:rPr>
            <w:noProof/>
            <w:webHidden/>
          </w:rPr>
          <w:tab/>
        </w:r>
        <w:r w:rsidR="004A7F88">
          <w:rPr>
            <w:noProof/>
            <w:webHidden/>
          </w:rPr>
          <w:fldChar w:fldCharType="begin"/>
        </w:r>
        <w:r w:rsidR="004A7F88">
          <w:rPr>
            <w:noProof/>
            <w:webHidden/>
          </w:rPr>
          <w:instrText xml:space="preserve"> PAGEREF _Toc67585362 \h </w:instrText>
        </w:r>
        <w:r w:rsidR="004A7F88">
          <w:rPr>
            <w:noProof/>
            <w:webHidden/>
          </w:rPr>
        </w:r>
        <w:r w:rsidR="004A7F88">
          <w:rPr>
            <w:noProof/>
            <w:webHidden/>
          </w:rPr>
          <w:fldChar w:fldCharType="separate"/>
        </w:r>
        <w:r w:rsidR="004A7F88">
          <w:rPr>
            <w:noProof/>
            <w:webHidden/>
          </w:rPr>
          <w:t>3</w:t>
        </w:r>
        <w:r w:rsidR="004A7F88">
          <w:rPr>
            <w:noProof/>
            <w:webHidden/>
          </w:rPr>
          <w:fldChar w:fldCharType="end"/>
        </w:r>
      </w:hyperlink>
    </w:p>
    <w:p w14:paraId="5C2553A3" w14:textId="6C11FF3A" w:rsidR="004A7F88" w:rsidRDefault="003C12A6">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hyperlink w:anchor="_Toc67585363" w:history="1">
        <w:r w:rsidR="004A7F88" w:rsidRPr="00F04F11">
          <w:rPr>
            <w:rStyle w:val="Hyperlink"/>
            <w:noProof/>
            <w:lang w:val="en-GB"/>
          </w:rPr>
          <w:t>3</w:t>
        </w:r>
        <w:r w:rsidR="004A7F88">
          <w:rPr>
            <w:rFonts w:asciiTheme="minorHAnsi" w:eastAsiaTheme="minorEastAsia" w:hAnsiTheme="minorHAnsi" w:cstheme="minorBidi"/>
            <w:b w:val="0"/>
            <w:noProof/>
            <w:spacing w:val="0"/>
            <w:sz w:val="24"/>
            <w:lang w:val="en-AU" w:eastAsia="en-GB"/>
          </w:rPr>
          <w:tab/>
        </w:r>
        <w:r w:rsidR="004A7F88" w:rsidRPr="00F04F11">
          <w:rPr>
            <w:rStyle w:val="Hyperlink"/>
            <w:noProof/>
            <w:lang w:val="en-GB"/>
          </w:rPr>
          <w:t>Eligibility criteria</w:t>
        </w:r>
        <w:r w:rsidR="004A7F88">
          <w:rPr>
            <w:noProof/>
            <w:webHidden/>
          </w:rPr>
          <w:tab/>
        </w:r>
        <w:r w:rsidR="004A7F88">
          <w:rPr>
            <w:noProof/>
            <w:webHidden/>
          </w:rPr>
          <w:fldChar w:fldCharType="begin"/>
        </w:r>
        <w:r w:rsidR="004A7F88">
          <w:rPr>
            <w:noProof/>
            <w:webHidden/>
          </w:rPr>
          <w:instrText xml:space="preserve"> PAGEREF _Toc67585363 \h </w:instrText>
        </w:r>
        <w:r w:rsidR="004A7F88">
          <w:rPr>
            <w:noProof/>
            <w:webHidden/>
          </w:rPr>
        </w:r>
        <w:r w:rsidR="004A7F88">
          <w:rPr>
            <w:noProof/>
            <w:webHidden/>
          </w:rPr>
          <w:fldChar w:fldCharType="separate"/>
        </w:r>
        <w:r w:rsidR="004A7F88">
          <w:rPr>
            <w:noProof/>
            <w:webHidden/>
          </w:rPr>
          <w:t>3</w:t>
        </w:r>
        <w:r w:rsidR="004A7F88">
          <w:rPr>
            <w:noProof/>
            <w:webHidden/>
          </w:rPr>
          <w:fldChar w:fldCharType="end"/>
        </w:r>
      </w:hyperlink>
    </w:p>
    <w:p w14:paraId="1F068BBA" w14:textId="02F8E2E8"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64" w:history="1">
        <w:r w:rsidR="004A7F88" w:rsidRPr="00F04F11">
          <w:rPr>
            <w:rStyle w:val="Hyperlink"/>
            <w:noProof/>
            <w:lang w:val="en-GB"/>
          </w:rPr>
          <w:t>3.1</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Criterion A – Applicant eligibility</w:t>
        </w:r>
        <w:r w:rsidR="004A7F88">
          <w:rPr>
            <w:noProof/>
            <w:webHidden/>
          </w:rPr>
          <w:tab/>
        </w:r>
        <w:r w:rsidR="004A7F88">
          <w:rPr>
            <w:noProof/>
            <w:webHidden/>
          </w:rPr>
          <w:fldChar w:fldCharType="begin"/>
        </w:r>
        <w:r w:rsidR="004A7F88">
          <w:rPr>
            <w:noProof/>
            <w:webHidden/>
          </w:rPr>
          <w:instrText xml:space="preserve"> PAGEREF _Toc67585364 \h </w:instrText>
        </w:r>
        <w:r w:rsidR="004A7F88">
          <w:rPr>
            <w:noProof/>
            <w:webHidden/>
          </w:rPr>
        </w:r>
        <w:r w:rsidR="004A7F88">
          <w:rPr>
            <w:noProof/>
            <w:webHidden/>
          </w:rPr>
          <w:fldChar w:fldCharType="separate"/>
        </w:r>
        <w:r w:rsidR="004A7F88">
          <w:rPr>
            <w:noProof/>
            <w:webHidden/>
          </w:rPr>
          <w:t>4</w:t>
        </w:r>
        <w:r w:rsidR="004A7F88">
          <w:rPr>
            <w:noProof/>
            <w:webHidden/>
          </w:rPr>
          <w:fldChar w:fldCharType="end"/>
        </w:r>
      </w:hyperlink>
    </w:p>
    <w:p w14:paraId="592B2D8B" w14:textId="27AE16CB"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65" w:history="1">
        <w:r w:rsidR="004A7F88" w:rsidRPr="00F04F11">
          <w:rPr>
            <w:rStyle w:val="Hyperlink"/>
            <w:noProof/>
            <w:lang w:val="en-GB"/>
          </w:rPr>
          <w:t>3.2</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Criterion B – Employee eligibility</w:t>
        </w:r>
        <w:r w:rsidR="004A7F88">
          <w:rPr>
            <w:noProof/>
            <w:webHidden/>
          </w:rPr>
          <w:tab/>
        </w:r>
        <w:r w:rsidR="004A7F88">
          <w:rPr>
            <w:noProof/>
            <w:webHidden/>
          </w:rPr>
          <w:fldChar w:fldCharType="begin"/>
        </w:r>
        <w:r w:rsidR="004A7F88">
          <w:rPr>
            <w:noProof/>
            <w:webHidden/>
          </w:rPr>
          <w:instrText xml:space="preserve"> PAGEREF _Toc67585365 \h </w:instrText>
        </w:r>
        <w:r w:rsidR="004A7F88">
          <w:rPr>
            <w:noProof/>
            <w:webHidden/>
          </w:rPr>
        </w:r>
        <w:r w:rsidR="004A7F88">
          <w:rPr>
            <w:noProof/>
            <w:webHidden/>
          </w:rPr>
          <w:fldChar w:fldCharType="separate"/>
        </w:r>
        <w:r w:rsidR="004A7F88">
          <w:rPr>
            <w:noProof/>
            <w:webHidden/>
          </w:rPr>
          <w:t>5</w:t>
        </w:r>
        <w:r w:rsidR="004A7F88">
          <w:rPr>
            <w:noProof/>
            <w:webHidden/>
          </w:rPr>
          <w:fldChar w:fldCharType="end"/>
        </w:r>
      </w:hyperlink>
    </w:p>
    <w:p w14:paraId="687F1891" w14:textId="2CB7DFB1"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66" w:history="1">
        <w:r w:rsidR="004A7F88" w:rsidRPr="00F04F11">
          <w:rPr>
            <w:rStyle w:val="Hyperlink"/>
            <w:noProof/>
            <w:lang w:val="en-GB"/>
          </w:rPr>
          <w:t>3.3</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Criterion C – Job eligibility</w:t>
        </w:r>
        <w:r w:rsidR="004A7F88">
          <w:rPr>
            <w:noProof/>
            <w:webHidden/>
          </w:rPr>
          <w:tab/>
        </w:r>
        <w:r w:rsidR="004A7F88">
          <w:rPr>
            <w:noProof/>
            <w:webHidden/>
          </w:rPr>
          <w:fldChar w:fldCharType="begin"/>
        </w:r>
        <w:r w:rsidR="004A7F88">
          <w:rPr>
            <w:noProof/>
            <w:webHidden/>
          </w:rPr>
          <w:instrText xml:space="preserve"> PAGEREF _Toc67585366 \h </w:instrText>
        </w:r>
        <w:r w:rsidR="004A7F88">
          <w:rPr>
            <w:noProof/>
            <w:webHidden/>
          </w:rPr>
        </w:r>
        <w:r w:rsidR="004A7F88">
          <w:rPr>
            <w:noProof/>
            <w:webHidden/>
          </w:rPr>
          <w:fldChar w:fldCharType="separate"/>
        </w:r>
        <w:r w:rsidR="004A7F88">
          <w:rPr>
            <w:noProof/>
            <w:webHidden/>
          </w:rPr>
          <w:t>6</w:t>
        </w:r>
        <w:r w:rsidR="004A7F88">
          <w:rPr>
            <w:noProof/>
            <w:webHidden/>
          </w:rPr>
          <w:fldChar w:fldCharType="end"/>
        </w:r>
      </w:hyperlink>
    </w:p>
    <w:p w14:paraId="6EDE622B" w14:textId="51095069"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67" w:history="1">
        <w:r w:rsidR="004A7F88" w:rsidRPr="00F04F11">
          <w:rPr>
            <w:rStyle w:val="Hyperlink"/>
            <w:noProof/>
            <w:lang w:val="en-GB"/>
          </w:rPr>
          <w:t>3.4</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Applicant conditions</w:t>
        </w:r>
        <w:r w:rsidR="004A7F88">
          <w:rPr>
            <w:noProof/>
            <w:webHidden/>
          </w:rPr>
          <w:tab/>
        </w:r>
        <w:r w:rsidR="004A7F88">
          <w:rPr>
            <w:noProof/>
            <w:webHidden/>
          </w:rPr>
          <w:fldChar w:fldCharType="begin"/>
        </w:r>
        <w:r w:rsidR="004A7F88">
          <w:rPr>
            <w:noProof/>
            <w:webHidden/>
          </w:rPr>
          <w:instrText xml:space="preserve"> PAGEREF _Toc67585367 \h </w:instrText>
        </w:r>
        <w:r w:rsidR="004A7F88">
          <w:rPr>
            <w:noProof/>
            <w:webHidden/>
          </w:rPr>
        </w:r>
        <w:r w:rsidR="004A7F88">
          <w:rPr>
            <w:noProof/>
            <w:webHidden/>
          </w:rPr>
          <w:fldChar w:fldCharType="separate"/>
        </w:r>
        <w:r w:rsidR="004A7F88">
          <w:rPr>
            <w:noProof/>
            <w:webHidden/>
          </w:rPr>
          <w:t>6</w:t>
        </w:r>
        <w:r w:rsidR="004A7F88">
          <w:rPr>
            <w:noProof/>
            <w:webHidden/>
          </w:rPr>
          <w:fldChar w:fldCharType="end"/>
        </w:r>
      </w:hyperlink>
    </w:p>
    <w:p w14:paraId="6468F03F" w14:textId="15644297" w:rsidR="004A7F88" w:rsidRDefault="003C12A6">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hyperlink w:anchor="_Toc67585368" w:history="1">
        <w:r w:rsidR="004A7F88" w:rsidRPr="00F04F11">
          <w:rPr>
            <w:rStyle w:val="Hyperlink"/>
            <w:noProof/>
            <w:lang w:val="en-GB"/>
          </w:rPr>
          <w:t>4</w:t>
        </w:r>
        <w:r w:rsidR="004A7F88">
          <w:rPr>
            <w:rFonts w:asciiTheme="minorHAnsi" w:eastAsiaTheme="minorEastAsia" w:hAnsiTheme="minorHAnsi" w:cstheme="minorBidi"/>
            <w:b w:val="0"/>
            <w:noProof/>
            <w:spacing w:val="0"/>
            <w:sz w:val="24"/>
            <w:lang w:val="en-AU" w:eastAsia="en-GB"/>
          </w:rPr>
          <w:tab/>
        </w:r>
        <w:r w:rsidR="004A7F88" w:rsidRPr="00F04F11">
          <w:rPr>
            <w:rStyle w:val="Hyperlink"/>
            <w:noProof/>
            <w:lang w:val="en-GB"/>
          </w:rPr>
          <w:t>Application and assessment process</w:t>
        </w:r>
        <w:r w:rsidR="004A7F88">
          <w:rPr>
            <w:noProof/>
            <w:webHidden/>
          </w:rPr>
          <w:tab/>
        </w:r>
        <w:r w:rsidR="004A7F88">
          <w:rPr>
            <w:noProof/>
            <w:webHidden/>
          </w:rPr>
          <w:fldChar w:fldCharType="begin"/>
        </w:r>
        <w:r w:rsidR="004A7F88">
          <w:rPr>
            <w:noProof/>
            <w:webHidden/>
          </w:rPr>
          <w:instrText xml:space="preserve"> PAGEREF _Toc67585368 \h </w:instrText>
        </w:r>
        <w:r w:rsidR="004A7F88">
          <w:rPr>
            <w:noProof/>
            <w:webHidden/>
          </w:rPr>
        </w:r>
        <w:r w:rsidR="004A7F88">
          <w:rPr>
            <w:noProof/>
            <w:webHidden/>
          </w:rPr>
          <w:fldChar w:fldCharType="separate"/>
        </w:r>
        <w:r w:rsidR="004A7F88">
          <w:rPr>
            <w:noProof/>
            <w:webHidden/>
          </w:rPr>
          <w:t>7</w:t>
        </w:r>
        <w:r w:rsidR="004A7F88">
          <w:rPr>
            <w:noProof/>
            <w:webHidden/>
          </w:rPr>
          <w:fldChar w:fldCharType="end"/>
        </w:r>
      </w:hyperlink>
    </w:p>
    <w:p w14:paraId="28D59EFE" w14:textId="3E3E48F7"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69" w:history="1">
        <w:r w:rsidR="004A7F88" w:rsidRPr="00F04F11">
          <w:rPr>
            <w:rStyle w:val="Hyperlink"/>
            <w:noProof/>
            <w:lang w:val="en-GB"/>
          </w:rPr>
          <w:t>4.1</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Submitting your application</w:t>
        </w:r>
        <w:r w:rsidR="004A7F88">
          <w:rPr>
            <w:noProof/>
            <w:webHidden/>
          </w:rPr>
          <w:tab/>
        </w:r>
        <w:r w:rsidR="004A7F88">
          <w:rPr>
            <w:noProof/>
            <w:webHidden/>
          </w:rPr>
          <w:fldChar w:fldCharType="begin"/>
        </w:r>
        <w:r w:rsidR="004A7F88">
          <w:rPr>
            <w:noProof/>
            <w:webHidden/>
          </w:rPr>
          <w:instrText xml:space="preserve"> PAGEREF _Toc67585369 \h </w:instrText>
        </w:r>
        <w:r w:rsidR="004A7F88">
          <w:rPr>
            <w:noProof/>
            <w:webHidden/>
          </w:rPr>
        </w:r>
        <w:r w:rsidR="004A7F88">
          <w:rPr>
            <w:noProof/>
            <w:webHidden/>
          </w:rPr>
          <w:fldChar w:fldCharType="separate"/>
        </w:r>
        <w:r w:rsidR="004A7F88">
          <w:rPr>
            <w:noProof/>
            <w:webHidden/>
          </w:rPr>
          <w:t>7</w:t>
        </w:r>
        <w:r w:rsidR="004A7F88">
          <w:rPr>
            <w:noProof/>
            <w:webHidden/>
          </w:rPr>
          <w:fldChar w:fldCharType="end"/>
        </w:r>
      </w:hyperlink>
    </w:p>
    <w:p w14:paraId="264144A6" w14:textId="3740F35A"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0" w:history="1">
        <w:r w:rsidR="004A7F88" w:rsidRPr="00F04F11">
          <w:rPr>
            <w:rStyle w:val="Hyperlink"/>
            <w:noProof/>
            <w:lang w:val="en-GB"/>
          </w:rPr>
          <w:t>4.2</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Assessing your application</w:t>
        </w:r>
        <w:r w:rsidR="004A7F88">
          <w:rPr>
            <w:noProof/>
            <w:webHidden/>
          </w:rPr>
          <w:tab/>
        </w:r>
        <w:r w:rsidR="004A7F88">
          <w:rPr>
            <w:noProof/>
            <w:webHidden/>
          </w:rPr>
          <w:fldChar w:fldCharType="begin"/>
        </w:r>
        <w:r w:rsidR="004A7F88">
          <w:rPr>
            <w:noProof/>
            <w:webHidden/>
          </w:rPr>
          <w:instrText xml:space="preserve"> PAGEREF _Toc67585370 \h </w:instrText>
        </w:r>
        <w:r w:rsidR="004A7F88">
          <w:rPr>
            <w:noProof/>
            <w:webHidden/>
          </w:rPr>
        </w:r>
        <w:r w:rsidR="004A7F88">
          <w:rPr>
            <w:noProof/>
            <w:webHidden/>
          </w:rPr>
          <w:fldChar w:fldCharType="separate"/>
        </w:r>
        <w:r w:rsidR="004A7F88">
          <w:rPr>
            <w:noProof/>
            <w:webHidden/>
          </w:rPr>
          <w:t>7</w:t>
        </w:r>
        <w:r w:rsidR="004A7F88">
          <w:rPr>
            <w:noProof/>
            <w:webHidden/>
          </w:rPr>
          <w:fldChar w:fldCharType="end"/>
        </w:r>
      </w:hyperlink>
    </w:p>
    <w:p w14:paraId="30F36DFF" w14:textId="45DC4BA2"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1" w:history="1">
        <w:r w:rsidR="004A7F88" w:rsidRPr="00F04F11">
          <w:rPr>
            <w:rStyle w:val="Hyperlink"/>
            <w:noProof/>
            <w:lang w:val="en-GB"/>
          </w:rPr>
          <w:t>4.3</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 xml:space="preserve">Requests </w:t>
        </w:r>
        <w:r w:rsidR="004A7F88" w:rsidRPr="00F04F11">
          <w:rPr>
            <w:rStyle w:val="Hyperlink"/>
            <w:noProof/>
          </w:rPr>
          <w:t>for</w:t>
        </w:r>
        <w:r w:rsidR="004A7F88" w:rsidRPr="00F04F11">
          <w:rPr>
            <w:rStyle w:val="Hyperlink"/>
            <w:noProof/>
            <w:lang w:val="en-GB"/>
          </w:rPr>
          <w:t xml:space="preserve"> additional information</w:t>
        </w:r>
        <w:r w:rsidR="004A7F88">
          <w:rPr>
            <w:noProof/>
            <w:webHidden/>
          </w:rPr>
          <w:tab/>
        </w:r>
        <w:r w:rsidR="004A7F88">
          <w:rPr>
            <w:noProof/>
            <w:webHidden/>
          </w:rPr>
          <w:fldChar w:fldCharType="begin"/>
        </w:r>
        <w:r w:rsidR="004A7F88">
          <w:rPr>
            <w:noProof/>
            <w:webHidden/>
          </w:rPr>
          <w:instrText xml:space="preserve"> PAGEREF _Toc67585371 \h </w:instrText>
        </w:r>
        <w:r w:rsidR="004A7F88">
          <w:rPr>
            <w:noProof/>
            <w:webHidden/>
          </w:rPr>
        </w:r>
        <w:r w:rsidR="004A7F88">
          <w:rPr>
            <w:noProof/>
            <w:webHidden/>
          </w:rPr>
          <w:fldChar w:fldCharType="separate"/>
        </w:r>
        <w:r w:rsidR="004A7F88">
          <w:rPr>
            <w:noProof/>
            <w:webHidden/>
          </w:rPr>
          <w:t>8</w:t>
        </w:r>
        <w:r w:rsidR="004A7F88">
          <w:rPr>
            <w:noProof/>
            <w:webHidden/>
          </w:rPr>
          <w:fldChar w:fldCharType="end"/>
        </w:r>
      </w:hyperlink>
    </w:p>
    <w:p w14:paraId="05CF9360" w14:textId="536AEB83"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2" w:history="1">
        <w:r w:rsidR="004A7F88" w:rsidRPr="00F04F11">
          <w:rPr>
            <w:rStyle w:val="Hyperlink"/>
            <w:noProof/>
            <w:lang w:val="en-GB"/>
          </w:rPr>
          <w:t>4.4</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Processing your application</w:t>
        </w:r>
        <w:r w:rsidR="004A7F88">
          <w:rPr>
            <w:noProof/>
            <w:webHidden/>
          </w:rPr>
          <w:tab/>
        </w:r>
        <w:r w:rsidR="004A7F88">
          <w:rPr>
            <w:noProof/>
            <w:webHidden/>
          </w:rPr>
          <w:fldChar w:fldCharType="begin"/>
        </w:r>
        <w:r w:rsidR="004A7F88">
          <w:rPr>
            <w:noProof/>
            <w:webHidden/>
          </w:rPr>
          <w:instrText xml:space="preserve"> PAGEREF _Toc67585372 \h </w:instrText>
        </w:r>
        <w:r w:rsidR="004A7F88">
          <w:rPr>
            <w:noProof/>
            <w:webHidden/>
          </w:rPr>
        </w:r>
        <w:r w:rsidR="004A7F88">
          <w:rPr>
            <w:noProof/>
            <w:webHidden/>
          </w:rPr>
          <w:fldChar w:fldCharType="separate"/>
        </w:r>
        <w:r w:rsidR="004A7F88">
          <w:rPr>
            <w:noProof/>
            <w:webHidden/>
          </w:rPr>
          <w:t>8</w:t>
        </w:r>
        <w:r w:rsidR="004A7F88">
          <w:rPr>
            <w:noProof/>
            <w:webHidden/>
          </w:rPr>
          <w:fldChar w:fldCharType="end"/>
        </w:r>
      </w:hyperlink>
    </w:p>
    <w:p w14:paraId="07558526" w14:textId="2C11B4A3"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3" w:history="1">
        <w:r w:rsidR="004A7F88" w:rsidRPr="00F04F11">
          <w:rPr>
            <w:rStyle w:val="Hyperlink"/>
            <w:noProof/>
            <w:lang w:val="en-GB"/>
          </w:rPr>
          <w:t>4.5</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Payment milestones</w:t>
        </w:r>
        <w:r w:rsidR="004A7F88">
          <w:rPr>
            <w:noProof/>
            <w:webHidden/>
          </w:rPr>
          <w:tab/>
        </w:r>
        <w:r w:rsidR="004A7F88">
          <w:rPr>
            <w:noProof/>
            <w:webHidden/>
          </w:rPr>
          <w:fldChar w:fldCharType="begin"/>
        </w:r>
        <w:r w:rsidR="004A7F88">
          <w:rPr>
            <w:noProof/>
            <w:webHidden/>
          </w:rPr>
          <w:instrText xml:space="preserve"> PAGEREF _Toc67585373 \h </w:instrText>
        </w:r>
        <w:r w:rsidR="004A7F88">
          <w:rPr>
            <w:noProof/>
            <w:webHidden/>
          </w:rPr>
        </w:r>
        <w:r w:rsidR="004A7F88">
          <w:rPr>
            <w:noProof/>
            <w:webHidden/>
          </w:rPr>
          <w:fldChar w:fldCharType="separate"/>
        </w:r>
        <w:r w:rsidR="004A7F88">
          <w:rPr>
            <w:noProof/>
            <w:webHidden/>
          </w:rPr>
          <w:t>8</w:t>
        </w:r>
        <w:r w:rsidR="004A7F88">
          <w:rPr>
            <w:noProof/>
            <w:webHidden/>
          </w:rPr>
          <w:fldChar w:fldCharType="end"/>
        </w:r>
      </w:hyperlink>
    </w:p>
    <w:p w14:paraId="76E1A9EA" w14:textId="402B68C8" w:rsidR="004A7F88" w:rsidRDefault="003C12A6">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hyperlink w:anchor="_Toc67585374" w:history="1">
        <w:r w:rsidR="004A7F88" w:rsidRPr="00F04F11">
          <w:rPr>
            <w:rStyle w:val="Hyperlink"/>
            <w:noProof/>
            <w:lang w:val="en-GB"/>
          </w:rPr>
          <w:t>5</w:t>
        </w:r>
        <w:r w:rsidR="004A7F88">
          <w:rPr>
            <w:rFonts w:asciiTheme="minorHAnsi" w:eastAsiaTheme="minorEastAsia" w:hAnsiTheme="minorHAnsi" w:cstheme="minorBidi"/>
            <w:b w:val="0"/>
            <w:noProof/>
            <w:spacing w:val="0"/>
            <w:sz w:val="24"/>
            <w:lang w:val="en-AU" w:eastAsia="en-GB"/>
          </w:rPr>
          <w:tab/>
        </w:r>
        <w:r w:rsidR="004A7F88" w:rsidRPr="00F04F11">
          <w:rPr>
            <w:rStyle w:val="Hyperlink"/>
            <w:noProof/>
            <w:lang w:val="en-GB"/>
          </w:rPr>
          <w:t>Evidence requirements</w:t>
        </w:r>
        <w:r w:rsidR="004A7F88">
          <w:rPr>
            <w:noProof/>
            <w:webHidden/>
          </w:rPr>
          <w:tab/>
        </w:r>
        <w:r w:rsidR="004A7F88">
          <w:rPr>
            <w:noProof/>
            <w:webHidden/>
          </w:rPr>
          <w:fldChar w:fldCharType="begin"/>
        </w:r>
        <w:r w:rsidR="004A7F88">
          <w:rPr>
            <w:noProof/>
            <w:webHidden/>
          </w:rPr>
          <w:instrText xml:space="preserve"> PAGEREF _Toc67585374 \h </w:instrText>
        </w:r>
        <w:r w:rsidR="004A7F88">
          <w:rPr>
            <w:noProof/>
            <w:webHidden/>
          </w:rPr>
        </w:r>
        <w:r w:rsidR="004A7F88">
          <w:rPr>
            <w:noProof/>
            <w:webHidden/>
          </w:rPr>
          <w:fldChar w:fldCharType="separate"/>
        </w:r>
        <w:r w:rsidR="004A7F88">
          <w:rPr>
            <w:noProof/>
            <w:webHidden/>
          </w:rPr>
          <w:t>9</w:t>
        </w:r>
        <w:r w:rsidR="004A7F88">
          <w:rPr>
            <w:noProof/>
            <w:webHidden/>
          </w:rPr>
          <w:fldChar w:fldCharType="end"/>
        </w:r>
      </w:hyperlink>
    </w:p>
    <w:p w14:paraId="4A406F2B" w14:textId="5043E65D" w:rsidR="004A7F88" w:rsidRDefault="003C12A6">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hyperlink w:anchor="_Toc67585375" w:history="1">
        <w:r w:rsidR="004A7F88" w:rsidRPr="00F04F11">
          <w:rPr>
            <w:rStyle w:val="Hyperlink"/>
            <w:noProof/>
            <w:lang w:val="en-GB"/>
          </w:rPr>
          <w:t>6</w:t>
        </w:r>
        <w:r w:rsidR="004A7F88">
          <w:rPr>
            <w:rFonts w:asciiTheme="minorHAnsi" w:eastAsiaTheme="minorEastAsia" w:hAnsiTheme="minorHAnsi" w:cstheme="minorBidi"/>
            <w:b w:val="0"/>
            <w:noProof/>
            <w:spacing w:val="0"/>
            <w:sz w:val="24"/>
            <w:lang w:val="en-AU" w:eastAsia="en-GB"/>
          </w:rPr>
          <w:tab/>
        </w:r>
        <w:r w:rsidR="004A7F88" w:rsidRPr="00F04F11">
          <w:rPr>
            <w:rStyle w:val="Hyperlink"/>
            <w:noProof/>
            <w:lang w:val="en-GB"/>
          </w:rPr>
          <w:t>Grant agreements</w:t>
        </w:r>
        <w:r w:rsidR="004A7F88">
          <w:rPr>
            <w:noProof/>
            <w:webHidden/>
          </w:rPr>
          <w:tab/>
        </w:r>
        <w:r w:rsidR="004A7F88">
          <w:rPr>
            <w:noProof/>
            <w:webHidden/>
          </w:rPr>
          <w:fldChar w:fldCharType="begin"/>
        </w:r>
        <w:r w:rsidR="004A7F88">
          <w:rPr>
            <w:noProof/>
            <w:webHidden/>
          </w:rPr>
          <w:instrText xml:space="preserve"> PAGEREF _Toc67585375 \h </w:instrText>
        </w:r>
        <w:r w:rsidR="004A7F88">
          <w:rPr>
            <w:noProof/>
            <w:webHidden/>
          </w:rPr>
        </w:r>
        <w:r w:rsidR="004A7F88">
          <w:rPr>
            <w:noProof/>
            <w:webHidden/>
          </w:rPr>
          <w:fldChar w:fldCharType="separate"/>
        </w:r>
        <w:r w:rsidR="004A7F88">
          <w:rPr>
            <w:noProof/>
            <w:webHidden/>
          </w:rPr>
          <w:t>12</w:t>
        </w:r>
        <w:r w:rsidR="004A7F88">
          <w:rPr>
            <w:noProof/>
            <w:webHidden/>
          </w:rPr>
          <w:fldChar w:fldCharType="end"/>
        </w:r>
      </w:hyperlink>
    </w:p>
    <w:p w14:paraId="24F59386" w14:textId="3F7DBAB0"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6" w:history="1">
        <w:r w:rsidR="004A7F88" w:rsidRPr="00F04F11">
          <w:rPr>
            <w:rStyle w:val="Hyperlink"/>
            <w:noProof/>
            <w:lang w:val="en-GB"/>
          </w:rPr>
          <w:t>6.1</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Privacy</w:t>
        </w:r>
        <w:r w:rsidR="004A7F88">
          <w:rPr>
            <w:noProof/>
            <w:webHidden/>
          </w:rPr>
          <w:tab/>
        </w:r>
        <w:r w:rsidR="004A7F88">
          <w:rPr>
            <w:noProof/>
            <w:webHidden/>
          </w:rPr>
          <w:fldChar w:fldCharType="begin"/>
        </w:r>
        <w:r w:rsidR="004A7F88">
          <w:rPr>
            <w:noProof/>
            <w:webHidden/>
          </w:rPr>
          <w:instrText xml:space="preserve"> PAGEREF _Toc67585376 \h </w:instrText>
        </w:r>
        <w:r w:rsidR="004A7F88">
          <w:rPr>
            <w:noProof/>
            <w:webHidden/>
          </w:rPr>
        </w:r>
        <w:r w:rsidR="004A7F88">
          <w:rPr>
            <w:noProof/>
            <w:webHidden/>
          </w:rPr>
          <w:fldChar w:fldCharType="separate"/>
        </w:r>
        <w:r w:rsidR="004A7F88">
          <w:rPr>
            <w:noProof/>
            <w:webHidden/>
          </w:rPr>
          <w:t>13</w:t>
        </w:r>
        <w:r w:rsidR="004A7F88">
          <w:rPr>
            <w:noProof/>
            <w:webHidden/>
          </w:rPr>
          <w:fldChar w:fldCharType="end"/>
        </w:r>
      </w:hyperlink>
    </w:p>
    <w:p w14:paraId="7C29396B" w14:textId="2AF00236"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7" w:history="1">
        <w:r w:rsidR="004A7F88" w:rsidRPr="00F04F11">
          <w:rPr>
            <w:rStyle w:val="Hyperlink"/>
            <w:noProof/>
            <w:lang w:val="en-GB"/>
          </w:rPr>
          <w:t>6.2</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Publicity and media</w:t>
        </w:r>
        <w:r w:rsidR="004A7F88">
          <w:rPr>
            <w:noProof/>
            <w:webHidden/>
          </w:rPr>
          <w:tab/>
        </w:r>
        <w:r w:rsidR="004A7F88">
          <w:rPr>
            <w:noProof/>
            <w:webHidden/>
          </w:rPr>
          <w:fldChar w:fldCharType="begin"/>
        </w:r>
        <w:r w:rsidR="004A7F88">
          <w:rPr>
            <w:noProof/>
            <w:webHidden/>
          </w:rPr>
          <w:instrText xml:space="preserve"> PAGEREF _Toc67585377 \h </w:instrText>
        </w:r>
        <w:r w:rsidR="004A7F88">
          <w:rPr>
            <w:noProof/>
            <w:webHidden/>
          </w:rPr>
        </w:r>
        <w:r w:rsidR="004A7F88">
          <w:rPr>
            <w:noProof/>
            <w:webHidden/>
          </w:rPr>
          <w:fldChar w:fldCharType="separate"/>
        </w:r>
        <w:r w:rsidR="004A7F88">
          <w:rPr>
            <w:noProof/>
            <w:webHidden/>
          </w:rPr>
          <w:t>13</w:t>
        </w:r>
        <w:r w:rsidR="004A7F88">
          <w:rPr>
            <w:noProof/>
            <w:webHidden/>
          </w:rPr>
          <w:fldChar w:fldCharType="end"/>
        </w:r>
      </w:hyperlink>
    </w:p>
    <w:p w14:paraId="548CB17C" w14:textId="0DA1990B"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8" w:history="1">
        <w:r w:rsidR="004A7F88" w:rsidRPr="00F04F11">
          <w:rPr>
            <w:rStyle w:val="Hyperlink"/>
            <w:noProof/>
            <w:lang w:val="en-GB"/>
          </w:rPr>
          <w:t>6.3</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Evaluation</w:t>
        </w:r>
        <w:r w:rsidR="004A7F88">
          <w:rPr>
            <w:noProof/>
            <w:webHidden/>
          </w:rPr>
          <w:tab/>
        </w:r>
        <w:r w:rsidR="004A7F88">
          <w:rPr>
            <w:noProof/>
            <w:webHidden/>
          </w:rPr>
          <w:fldChar w:fldCharType="begin"/>
        </w:r>
        <w:r w:rsidR="004A7F88">
          <w:rPr>
            <w:noProof/>
            <w:webHidden/>
          </w:rPr>
          <w:instrText xml:space="preserve"> PAGEREF _Toc67585378 \h </w:instrText>
        </w:r>
        <w:r w:rsidR="004A7F88">
          <w:rPr>
            <w:noProof/>
            <w:webHidden/>
          </w:rPr>
        </w:r>
        <w:r w:rsidR="004A7F88">
          <w:rPr>
            <w:noProof/>
            <w:webHidden/>
          </w:rPr>
          <w:fldChar w:fldCharType="separate"/>
        </w:r>
        <w:r w:rsidR="004A7F88">
          <w:rPr>
            <w:noProof/>
            <w:webHidden/>
          </w:rPr>
          <w:t>13</w:t>
        </w:r>
        <w:r w:rsidR="004A7F88">
          <w:rPr>
            <w:noProof/>
            <w:webHidden/>
          </w:rPr>
          <w:fldChar w:fldCharType="end"/>
        </w:r>
      </w:hyperlink>
    </w:p>
    <w:p w14:paraId="3481C660" w14:textId="5A7E291D"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79" w:history="1">
        <w:r w:rsidR="004A7F88" w:rsidRPr="00F04F11">
          <w:rPr>
            <w:rStyle w:val="Hyperlink"/>
            <w:noProof/>
            <w:lang w:val="en-GB"/>
          </w:rPr>
          <w:t>6.4</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Audit and compliance</w:t>
        </w:r>
        <w:r w:rsidR="004A7F88">
          <w:rPr>
            <w:noProof/>
            <w:webHidden/>
          </w:rPr>
          <w:tab/>
        </w:r>
        <w:r w:rsidR="004A7F88">
          <w:rPr>
            <w:noProof/>
            <w:webHidden/>
          </w:rPr>
          <w:fldChar w:fldCharType="begin"/>
        </w:r>
        <w:r w:rsidR="004A7F88">
          <w:rPr>
            <w:noProof/>
            <w:webHidden/>
          </w:rPr>
          <w:instrText xml:space="preserve"> PAGEREF _Toc67585379 \h </w:instrText>
        </w:r>
        <w:r w:rsidR="004A7F88">
          <w:rPr>
            <w:noProof/>
            <w:webHidden/>
          </w:rPr>
        </w:r>
        <w:r w:rsidR="004A7F88">
          <w:rPr>
            <w:noProof/>
            <w:webHidden/>
          </w:rPr>
          <w:fldChar w:fldCharType="separate"/>
        </w:r>
        <w:r w:rsidR="004A7F88">
          <w:rPr>
            <w:noProof/>
            <w:webHidden/>
          </w:rPr>
          <w:t>13</w:t>
        </w:r>
        <w:r w:rsidR="004A7F88">
          <w:rPr>
            <w:noProof/>
            <w:webHidden/>
          </w:rPr>
          <w:fldChar w:fldCharType="end"/>
        </w:r>
      </w:hyperlink>
    </w:p>
    <w:p w14:paraId="71A43307" w14:textId="2E682E30"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80" w:history="1">
        <w:r w:rsidR="004A7F88" w:rsidRPr="00F04F11">
          <w:rPr>
            <w:rStyle w:val="Hyperlink"/>
            <w:noProof/>
            <w:lang w:val="en-GB"/>
          </w:rPr>
          <w:t>6.5</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Conflict of interest</w:t>
        </w:r>
        <w:r w:rsidR="004A7F88">
          <w:rPr>
            <w:noProof/>
            <w:webHidden/>
          </w:rPr>
          <w:tab/>
        </w:r>
        <w:r w:rsidR="004A7F88">
          <w:rPr>
            <w:noProof/>
            <w:webHidden/>
          </w:rPr>
          <w:fldChar w:fldCharType="begin"/>
        </w:r>
        <w:r w:rsidR="004A7F88">
          <w:rPr>
            <w:noProof/>
            <w:webHidden/>
          </w:rPr>
          <w:instrText xml:space="preserve"> PAGEREF _Toc67585380 \h </w:instrText>
        </w:r>
        <w:r w:rsidR="004A7F88">
          <w:rPr>
            <w:noProof/>
            <w:webHidden/>
          </w:rPr>
        </w:r>
        <w:r w:rsidR="004A7F88">
          <w:rPr>
            <w:noProof/>
            <w:webHidden/>
          </w:rPr>
          <w:fldChar w:fldCharType="separate"/>
        </w:r>
        <w:r w:rsidR="004A7F88">
          <w:rPr>
            <w:noProof/>
            <w:webHidden/>
          </w:rPr>
          <w:t>13</w:t>
        </w:r>
        <w:r w:rsidR="004A7F88">
          <w:rPr>
            <w:noProof/>
            <w:webHidden/>
          </w:rPr>
          <w:fldChar w:fldCharType="end"/>
        </w:r>
      </w:hyperlink>
    </w:p>
    <w:p w14:paraId="434691CC" w14:textId="4F73B190"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81" w:history="1">
        <w:r w:rsidR="004A7F88" w:rsidRPr="00F04F11">
          <w:rPr>
            <w:rStyle w:val="Hyperlink"/>
            <w:noProof/>
            <w:lang w:val="en-GB"/>
          </w:rPr>
          <w:t>6.6</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Competitive neutrality</w:t>
        </w:r>
        <w:r w:rsidR="004A7F88">
          <w:rPr>
            <w:noProof/>
            <w:webHidden/>
          </w:rPr>
          <w:tab/>
        </w:r>
        <w:r w:rsidR="004A7F88">
          <w:rPr>
            <w:noProof/>
            <w:webHidden/>
          </w:rPr>
          <w:fldChar w:fldCharType="begin"/>
        </w:r>
        <w:r w:rsidR="004A7F88">
          <w:rPr>
            <w:noProof/>
            <w:webHidden/>
          </w:rPr>
          <w:instrText xml:space="preserve"> PAGEREF _Toc67585381 \h </w:instrText>
        </w:r>
        <w:r w:rsidR="004A7F88">
          <w:rPr>
            <w:noProof/>
            <w:webHidden/>
          </w:rPr>
        </w:r>
        <w:r w:rsidR="004A7F88">
          <w:rPr>
            <w:noProof/>
            <w:webHidden/>
          </w:rPr>
          <w:fldChar w:fldCharType="separate"/>
        </w:r>
        <w:r w:rsidR="004A7F88">
          <w:rPr>
            <w:noProof/>
            <w:webHidden/>
          </w:rPr>
          <w:t>14</w:t>
        </w:r>
        <w:r w:rsidR="004A7F88">
          <w:rPr>
            <w:noProof/>
            <w:webHidden/>
          </w:rPr>
          <w:fldChar w:fldCharType="end"/>
        </w:r>
      </w:hyperlink>
    </w:p>
    <w:p w14:paraId="05541B80" w14:textId="4E18B6A7" w:rsidR="004A7F88" w:rsidRDefault="003C12A6">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hyperlink w:anchor="_Toc67585382" w:history="1">
        <w:r w:rsidR="004A7F88" w:rsidRPr="00F04F11">
          <w:rPr>
            <w:rStyle w:val="Hyperlink"/>
            <w:noProof/>
            <w:lang w:val="en-GB"/>
          </w:rPr>
          <w:t>7</w:t>
        </w:r>
        <w:r w:rsidR="004A7F88">
          <w:rPr>
            <w:rFonts w:asciiTheme="minorHAnsi" w:eastAsiaTheme="minorEastAsia" w:hAnsiTheme="minorHAnsi" w:cstheme="minorBidi"/>
            <w:b w:val="0"/>
            <w:noProof/>
            <w:spacing w:val="0"/>
            <w:sz w:val="24"/>
            <w:lang w:val="en-AU" w:eastAsia="en-GB"/>
          </w:rPr>
          <w:tab/>
        </w:r>
        <w:r w:rsidR="004A7F88" w:rsidRPr="00F04F11">
          <w:rPr>
            <w:rStyle w:val="Hyperlink"/>
            <w:noProof/>
            <w:lang w:val="en-GB"/>
          </w:rPr>
          <w:t>Employer responsibilities</w:t>
        </w:r>
        <w:r w:rsidR="004A7F88">
          <w:rPr>
            <w:noProof/>
            <w:webHidden/>
          </w:rPr>
          <w:tab/>
        </w:r>
        <w:r w:rsidR="004A7F88">
          <w:rPr>
            <w:noProof/>
            <w:webHidden/>
          </w:rPr>
          <w:fldChar w:fldCharType="begin"/>
        </w:r>
        <w:r w:rsidR="004A7F88">
          <w:rPr>
            <w:noProof/>
            <w:webHidden/>
          </w:rPr>
          <w:instrText xml:space="preserve"> PAGEREF _Toc67585382 \h </w:instrText>
        </w:r>
        <w:r w:rsidR="004A7F88">
          <w:rPr>
            <w:noProof/>
            <w:webHidden/>
          </w:rPr>
        </w:r>
        <w:r w:rsidR="004A7F88">
          <w:rPr>
            <w:noProof/>
            <w:webHidden/>
          </w:rPr>
          <w:fldChar w:fldCharType="separate"/>
        </w:r>
        <w:r w:rsidR="004A7F88">
          <w:rPr>
            <w:noProof/>
            <w:webHidden/>
          </w:rPr>
          <w:t>14</w:t>
        </w:r>
        <w:r w:rsidR="004A7F88">
          <w:rPr>
            <w:noProof/>
            <w:webHidden/>
          </w:rPr>
          <w:fldChar w:fldCharType="end"/>
        </w:r>
      </w:hyperlink>
    </w:p>
    <w:p w14:paraId="06AFAF8E" w14:textId="3CA1F371"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83" w:history="1">
        <w:r w:rsidR="004A7F88" w:rsidRPr="00F04F11">
          <w:rPr>
            <w:rStyle w:val="Hyperlink"/>
            <w:noProof/>
            <w:lang w:val="en-GB"/>
          </w:rPr>
          <w:t>7.1</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Employment standards for employers</w:t>
        </w:r>
        <w:r w:rsidR="004A7F88">
          <w:rPr>
            <w:noProof/>
            <w:webHidden/>
          </w:rPr>
          <w:tab/>
        </w:r>
        <w:r w:rsidR="004A7F88">
          <w:rPr>
            <w:noProof/>
            <w:webHidden/>
          </w:rPr>
          <w:fldChar w:fldCharType="begin"/>
        </w:r>
        <w:r w:rsidR="004A7F88">
          <w:rPr>
            <w:noProof/>
            <w:webHidden/>
          </w:rPr>
          <w:instrText xml:space="preserve"> PAGEREF _Toc67585383 \h </w:instrText>
        </w:r>
        <w:r w:rsidR="004A7F88">
          <w:rPr>
            <w:noProof/>
            <w:webHidden/>
          </w:rPr>
        </w:r>
        <w:r w:rsidR="004A7F88">
          <w:rPr>
            <w:noProof/>
            <w:webHidden/>
          </w:rPr>
          <w:fldChar w:fldCharType="separate"/>
        </w:r>
        <w:r w:rsidR="004A7F88">
          <w:rPr>
            <w:noProof/>
            <w:webHidden/>
          </w:rPr>
          <w:t>14</w:t>
        </w:r>
        <w:r w:rsidR="004A7F88">
          <w:rPr>
            <w:noProof/>
            <w:webHidden/>
          </w:rPr>
          <w:fldChar w:fldCharType="end"/>
        </w:r>
      </w:hyperlink>
    </w:p>
    <w:p w14:paraId="1CEE9AF4" w14:textId="35B12342"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84" w:history="1">
        <w:r w:rsidR="004A7F88" w:rsidRPr="00F04F11">
          <w:rPr>
            <w:rStyle w:val="Hyperlink"/>
            <w:noProof/>
            <w:lang w:val="en-GB"/>
          </w:rPr>
          <w:t>7.2</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Long service laws</w:t>
        </w:r>
        <w:r w:rsidR="004A7F88">
          <w:rPr>
            <w:noProof/>
            <w:webHidden/>
          </w:rPr>
          <w:tab/>
        </w:r>
        <w:r w:rsidR="004A7F88">
          <w:rPr>
            <w:noProof/>
            <w:webHidden/>
          </w:rPr>
          <w:fldChar w:fldCharType="begin"/>
        </w:r>
        <w:r w:rsidR="004A7F88">
          <w:rPr>
            <w:noProof/>
            <w:webHidden/>
          </w:rPr>
          <w:instrText xml:space="preserve"> PAGEREF _Toc67585384 \h </w:instrText>
        </w:r>
        <w:r w:rsidR="004A7F88">
          <w:rPr>
            <w:noProof/>
            <w:webHidden/>
          </w:rPr>
        </w:r>
        <w:r w:rsidR="004A7F88">
          <w:rPr>
            <w:noProof/>
            <w:webHidden/>
          </w:rPr>
          <w:fldChar w:fldCharType="separate"/>
        </w:r>
        <w:r w:rsidR="004A7F88">
          <w:rPr>
            <w:noProof/>
            <w:webHidden/>
          </w:rPr>
          <w:t>14</w:t>
        </w:r>
        <w:r w:rsidR="004A7F88">
          <w:rPr>
            <w:noProof/>
            <w:webHidden/>
          </w:rPr>
          <w:fldChar w:fldCharType="end"/>
        </w:r>
      </w:hyperlink>
    </w:p>
    <w:p w14:paraId="08BB373E" w14:textId="1B226AEB"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85" w:history="1">
        <w:r w:rsidR="004A7F88" w:rsidRPr="00F04F11">
          <w:rPr>
            <w:rStyle w:val="Hyperlink"/>
            <w:noProof/>
            <w:lang w:val="en-GB"/>
          </w:rPr>
          <w:t>7.3</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Employer and employee health and safety</w:t>
        </w:r>
        <w:r w:rsidR="004A7F88">
          <w:rPr>
            <w:noProof/>
            <w:webHidden/>
          </w:rPr>
          <w:tab/>
        </w:r>
        <w:r w:rsidR="004A7F88">
          <w:rPr>
            <w:noProof/>
            <w:webHidden/>
          </w:rPr>
          <w:fldChar w:fldCharType="begin"/>
        </w:r>
        <w:r w:rsidR="004A7F88">
          <w:rPr>
            <w:noProof/>
            <w:webHidden/>
          </w:rPr>
          <w:instrText xml:space="preserve"> PAGEREF _Toc67585385 \h </w:instrText>
        </w:r>
        <w:r w:rsidR="004A7F88">
          <w:rPr>
            <w:noProof/>
            <w:webHidden/>
          </w:rPr>
        </w:r>
        <w:r w:rsidR="004A7F88">
          <w:rPr>
            <w:noProof/>
            <w:webHidden/>
          </w:rPr>
          <w:fldChar w:fldCharType="separate"/>
        </w:r>
        <w:r w:rsidR="004A7F88">
          <w:rPr>
            <w:noProof/>
            <w:webHidden/>
          </w:rPr>
          <w:t>15</w:t>
        </w:r>
        <w:r w:rsidR="004A7F88">
          <w:rPr>
            <w:noProof/>
            <w:webHidden/>
          </w:rPr>
          <w:fldChar w:fldCharType="end"/>
        </w:r>
      </w:hyperlink>
    </w:p>
    <w:p w14:paraId="11430CA2" w14:textId="782F5AB2" w:rsidR="004A7F88" w:rsidRDefault="003C12A6">
      <w:pPr>
        <w:pStyle w:val="TOC2"/>
        <w:tabs>
          <w:tab w:val="left" w:pos="800"/>
          <w:tab w:val="right" w:leader="dot" w:pos="10456"/>
        </w:tabs>
        <w:rPr>
          <w:rFonts w:asciiTheme="minorHAnsi" w:eastAsiaTheme="minorEastAsia" w:hAnsiTheme="minorHAnsi" w:cstheme="minorBidi"/>
          <w:noProof/>
          <w:spacing w:val="0"/>
          <w:sz w:val="24"/>
          <w:szCs w:val="24"/>
          <w:lang w:val="en-AU" w:eastAsia="en-GB"/>
        </w:rPr>
      </w:pPr>
      <w:hyperlink w:anchor="_Toc67585386" w:history="1">
        <w:r w:rsidR="004A7F88" w:rsidRPr="00F04F11">
          <w:rPr>
            <w:rStyle w:val="Hyperlink"/>
            <w:noProof/>
            <w:lang w:val="en-GB"/>
          </w:rPr>
          <w:t>7.4</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Requirements for trades jobs funded by the Department</w:t>
        </w:r>
        <w:r w:rsidR="004A7F88">
          <w:rPr>
            <w:noProof/>
            <w:webHidden/>
          </w:rPr>
          <w:tab/>
        </w:r>
        <w:r w:rsidR="004A7F88">
          <w:rPr>
            <w:noProof/>
            <w:webHidden/>
          </w:rPr>
          <w:fldChar w:fldCharType="begin"/>
        </w:r>
        <w:r w:rsidR="004A7F88">
          <w:rPr>
            <w:noProof/>
            <w:webHidden/>
          </w:rPr>
          <w:instrText xml:space="preserve"> PAGEREF _Toc67585386 \h </w:instrText>
        </w:r>
        <w:r w:rsidR="004A7F88">
          <w:rPr>
            <w:noProof/>
            <w:webHidden/>
          </w:rPr>
        </w:r>
        <w:r w:rsidR="004A7F88">
          <w:rPr>
            <w:noProof/>
            <w:webHidden/>
          </w:rPr>
          <w:fldChar w:fldCharType="separate"/>
        </w:r>
        <w:r w:rsidR="004A7F88">
          <w:rPr>
            <w:noProof/>
            <w:webHidden/>
          </w:rPr>
          <w:t>15</w:t>
        </w:r>
        <w:r w:rsidR="004A7F88">
          <w:rPr>
            <w:noProof/>
            <w:webHidden/>
          </w:rPr>
          <w:fldChar w:fldCharType="end"/>
        </w:r>
      </w:hyperlink>
    </w:p>
    <w:p w14:paraId="544864CA" w14:textId="2979B926" w:rsidR="004A7F88" w:rsidRDefault="003C12A6">
      <w:pPr>
        <w:pStyle w:val="TOC1"/>
        <w:tabs>
          <w:tab w:val="left" w:pos="480"/>
          <w:tab w:val="right" w:leader="dot" w:pos="10456"/>
        </w:tabs>
        <w:rPr>
          <w:rFonts w:asciiTheme="minorHAnsi" w:eastAsiaTheme="minorEastAsia" w:hAnsiTheme="minorHAnsi" w:cstheme="minorBidi"/>
          <w:b w:val="0"/>
          <w:noProof/>
          <w:spacing w:val="0"/>
          <w:sz w:val="24"/>
          <w:lang w:val="en-AU" w:eastAsia="en-GB"/>
        </w:rPr>
      </w:pPr>
      <w:hyperlink w:anchor="_Toc67585387" w:history="1">
        <w:r w:rsidR="004A7F88" w:rsidRPr="00F04F11">
          <w:rPr>
            <w:rStyle w:val="Hyperlink"/>
            <w:noProof/>
            <w:lang w:val="en-GB"/>
          </w:rPr>
          <w:t>8</w:t>
        </w:r>
        <w:r w:rsidR="004A7F88">
          <w:rPr>
            <w:rFonts w:asciiTheme="minorHAnsi" w:eastAsiaTheme="minorEastAsia" w:hAnsiTheme="minorHAnsi" w:cstheme="minorBidi"/>
            <w:b w:val="0"/>
            <w:noProof/>
            <w:spacing w:val="0"/>
            <w:sz w:val="24"/>
            <w:lang w:val="en-AU" w:eastAsia="en-GB"/>
          </w:rPr>
          <w:tab/>
        </w:r>
        <w:r w:rsidR="004A7F88" w:rsidRPr="00F04F11">
          <w:rPr>
            <w:rStyle w:val="Hyperlink"/>
            <w:noProof/>
            <w:lang w:val="en-GB"/>
          </w:rPr>
          <w:t>Contact and further information</w:t>
        </w:r>
        <w:r w:rsidR="004A7F88">
          <w:rPr>
            <w:noProof/>
            <w:webHidden/>
          </w:rPr>
          <w:tab/>
        </w:r>
        <w:r w:rsidR="004A7F88">
          <w:rPr>
            <w:noProof/>
            <w:webHidden/>
          </w:rPr>
          <w:fldChar w:fldCharType="begin"/>
        </w:r>
        <w:r w:rsidR="004A7F88">
          <w:rPr>
            <w:noProof/>
            <w:webHidden/>
          </w:rPr>
          <w:instrText xml:space="preserve"> PAGEREF _Toc67585387 \h </w:instrText>
        </w:r>
        <w:r w:rsidR="004A7F88">
          <w:rPr>
            <w:noProof/>
            <w:webHidden/>
          </w:rPr>
        </w:r>
        <w:r w:rsidR="004A7F88">
          <w:rPr>
            <w:noProof/>
            <w:webHidden/>
          </w:rPr>
          <w:fldChar w:fldCharType="separate"/>
        </w:r>
        <w:r w:rsidR="004A7F88">
          <w:rPr>
            <w:noProof/>
            <w:webHidden/>
          </w:rPr>
          <w:t>15</w:t>
        </w:r>
        <w:r w:rsidR="004A7F88">
          <w:rPr>
            <w:noProof/>
            <w:webHidden/>
          </w:rPr>
          <w:fldChar w:fldCharType="end"/>
        </w:r>
      </w:hyperlink>
    </w:p>
    <w:p w14:paraId="784F6D39" w14:textId="034344F1" w:rsidR="004A7F88" w:rsidRDefault="003C12A6">
      <w:pPr>
        <w:pStyle w:val="TOC1"/>
        <w:tabs>
          <w:tab w:val="right" w:leader="dot" w:pos="10456"/>
        </w:tabs>
        <w:rPr>
          <w:rFonts w:asciiTheme="minorHAnsi" w:eastAsiaTheme="minorEastAsia" w:hAnsiTheme="minorHAnsi" w:cstheme="minorBidi"/>
          <w:b w:val="0"/>
          <w:noProof/>
          <w:spacing w:val="0"/>
          <w:sz w:val="24"/>
          <w:lang w:val="en-AU" w:eastAsia="en-GB"/>
        </w:rPr>
      </w:pPr>
      <w:hyperlink w:anchor="_Toc67585388" w:history="1">
        <w:r w:rsidR="004A7F88" w:rsidRPr="00F04F11">
          <w:rPr>
            <w:rStyle w:val="Hyperlink"/>
            <w:noProof/>
            <w:lang w:val="en-GB"/>
          </w:rPr>
          <w:t>Appendix A – Recruitment supports</w:t>
        </w:r>
        <w:r w:rsidR="004A7F88">
          <w:rPr>
            <w:noProof/>
            <w:webHidden/>
          </w:rPr>
          <w:tab/>
        </w:r>
        <w:r w:rsidR="004A7F88">
          <w:rPr>
            <w:noProof/>
            <w:webHidden/>
          </w:rPr>
          <w:fldChar w:fldCharType="begin"/>
        </w:r>
        <w:r w:rsidR="004A7F88">
          <w:rPr>
            <w:noProof/>
            <w:webHidden/>
          </w:rPr>
          <w:instrText xml:space="preserve"> PAGEREF _Toc67585388 \h </w:instrText>
        </w:r>
        <w:r w:rsidR="004A7F88">
          <w:rPr>
            <w:noProof/>
            <w:webHidden/>
          </w:rPr>
        </w:r>
        <w:r w:rsidR="004A7F88">
          <w:rPr>
            <w:noProof/>
            <w:webHidden/>
          </w:rPr>
          <w:fldChar w:fldCharType="separate"/>
        </w:r>
        <w:r w:rsidR="004A7F88">
          <w:rPr>
            <w:noProof/>
            <w:webHidden/>
          </w:rPr>
          <w:t>16</w:t>
        </w:r>
        <w:r w:rsidR="004A7F88">
          <w:rPr>
            <w:noProof/>
            <w:webHidden/>
          </w:rPr>
          <w:fldChar w:fldCharType="end"/>
        </w:r>
      </w:hyperlink>
    </w:p>
    <w:p w14:paraId="1A1E2DBA" w14:textId="74D9CF45" w:rsidR="004A7F88" w:rsidRDefault="003C12A6">
      <w:pPr>
        <w:pStyle w:val="TOC2"/>
        <w:tabs>
          <w:tab w:val="left" w:pos="600"/>
          <w:tab w:val="right" w:leader="dot" w:pos="10456"/>
        </w:tabs>
        <w:rPr>
          <w:rFonts w:asciiTheme="minorHAnsi" w:eastAsiaTheme="minorEastAsia" w:hAnsiTheme="minorHAnsi" w:cstheme="minorBidi"/>
          <w:noProof/>
          <w:spacing w:val="0"/>
          <w:sz w:val="24"/>
          <w:szCs w:val="24"/>
          <w:lang w:val="en-AU" w:eastAsia="en-GB"/>
        </w:rPr>
      </w:pPr>
      <w:hyperlink w:anchor="_Toc67585389" w:history="1">
        <w:r w:rsidR="004A7F88" w:rsidRPr="00F04F11">
          <w:rPr>
            <w:rStyle w:val="Hyperlink"/>
            <w:noProof/>
            <w:lang w:val="en-GB"/>
          </w:rPr>
          <w:t>1.</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 xml:space="preserve">Jobs </w:t>
        </w:r>
        <w:r w:rsidR="004A7F88" w:rsidRPr="00F04F11">
          <w:rPr>
            <w:rStyle w:val="Hyperlink"/>
            <w:noProof/>
          </w:rPr>
          <w:t>Victoria</w:t>
        </w:r>
        <w:r w:rsidR="004A7F88" w:rsidRPr="00F04F11">
          <w:rPr>
            <w:rStyle w:val="Hyperlink"/>
            <w:noProof/>
            <w:lang w:val="en-GB"/>
          </w:rPr>
          <w:t xml:space="preserve"> Online Hub</w:t>
        </w:r>
        <w:r w:rsidR="004A7F88">
          <w:rPr>
            <w:noProof/>
            <w:webHidden/>
          </w:rPr>
          <w:tab/>
        </w:r>
        <w:r w:rsidR="004A7F88">
          <w:rPr>
            <w:noProof/>
            <w:webHidden/>
          </w:rPr>
          <w:fldChar w:fldCharType="begin"/>
        </w:r>
        <w:r w:rsidR="004A7F88">
          <w:rPr>
            <w:noProof/>
            <w:webHidden/>
          </w:rPr>
          <w:instrText xml:space="preserve"> PAGEREF _Toc67585389 \h </w:instrText>
        </w:r>
        <w:r w:rsidR="004A7F88">
          <w:rPr>
            <w:noProof/>
            <w:webHidden/>
          </w:rPr>
        </w:r>
        <w:r w:rsidR="004A7F88">
          <w:rPr>
            <w:noProof/>
            <w:webHidden/>
          </w:rPr>
          <w:fldChar w:fldCharType="separate"/>
        </w:r>
        <w:r w:rsidR="004A7F88">
          <w:rPr>
            <w:noProof/>
            <w:webHidden/>
          </w:rPr>
          <w:t>16</w:t>
        </w:r>
        <w:r w:rsidR="004A7F88">
          <w:rPr>
            <w:noProof/>
            <w:webHidden/>
          </w:rPr>
          <w:fldChar w:fldCharType="end"/>
        </w:r>
      </w:hyperlink>
    </w:p>
    <w:p w14:paraId="12CD0287" w14:textId="0626B666" w:rsidR="004A7F88" w:rsidRDefault="003C12A6">
      <w:pPr>
        <w:pStyle w:val="TOC2"/>
        <w:tabs>
          <w:tab w:val="left" w:pos="600"/>
          <w:tab w:val="right" w:leader="dot" w:pos="10456"/>
        </w:tabs>
        <w:rPr>
          <w:rFonts w:asciiTheme="minorHAnsi" w:eastAsiaTheme="minorEastAsia" w:hAnsiTheme="minorHAnsi" w:cstheme="minorBidi"/>
          <w:noProof/>
          <w:spacing w:val="0"/>
          <w:sz w:val="24"/>
          <w:szCs w:val="24"/>
          <w:lang w:val="en-AU" w:eastAsia="en-GB"/>
        </w:rPr>
      </w:pPr>
      <w:hyperlink w:anchor="_Toc67585390" w:history="1">
        <w:r w:rsidR="004A7F88" w:rsidRPr="00F04F11">
          <w:rPr>
            <w:rStyle w:val="Hyperlink"/>
            <w:noProof/>
            <w:lang w:val="en-GB"/>
          </w:rPr>
          <w:t>2.</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Jobs Victoria Partners</w:t>
        </w:r>
        <w:r w:rsidR="004A7F88">
          <w:rPr>
            <w:noProof/>
            <w:webHidden/>
          </w:rPr>
          <w:tab/>
        </w:r>
        <w:r w:rsidR="004A7F88">
          <w:rPr>
            <w:noProof/>
            <w:webHidden/>
          </w:rPr>
          <w:fldChar w:fldCharType="begin"/>
        </w:r>
        <w:r w:rsidR="004A7F88">
          <w:rPr>
            <w:noProof/>
            <w:webHidden/>
          </w:rPr>
          <w:instrText xml:space="preserve"> PAGEREF _Toc67585390 \h </w:instrText>
        </w:r>
        <w:r w:rsidR="004A7F88">
          <w:rPr>
            <w:noProof/>
            <w:webHidden/>
          </w:rPr>
        </w:r>
        <w:r w:rsidR="004A7F88">
          <w:rPr>
            <w:noProof/>
            <w:webHidden/>
          </w:rPr>
          <w:fldChar w:fldCharType="separate"/>
        </w:r>
        <w:r w:rsidR="004A7F88">
          <w:rPr>
            <w:noProof/>
            <w:webHidden/>
          </w:rPr>
          <w:t>16</w:t>
        </w:r>
        <w:r w:rsidR="004A7F88">
          <w:rPr>
            <w:noProof/>
            <w:webHidden/>
          </w:rPr>
          <w:fldChar w:fldCharType="end"/>
        </w:r>
      </w:hyperlink>
    </w:p>
    <w:p w14:paraId="5DE6B33B" w14:textId="3C5FFCC1" w:rsidR="004A7F88" w:rsidRDefault="003C12A6">
      <w:pPr>
        <w:pStyle w:val="TOC2"/>
        <w:tabs>
          <w:tab w:val="left" w:pos="600"/>
          <w:tab w:val="right" w:leader="dot" w:pos="10456"/>
        </w:tabs>
        <w:rPr>
          <w:rFonts w:asciiTheme="minorHAnsi" w:eastAsiaTheme="minorEastAsia" w:hAnsiTheme="minorHAnsi" w:cstheme="minorBidi"/>
          <w:noProof/>
          <w:spacing w:val="0"/>
          <w:sz w:val="24"/>
          <w:szCs w:val="24"/>
          <w:lang w:val="en-AU" w:eastAsia="en-GB"/>
        </w:rPr>
      </w:pPr>
      <w:hyperlink w:anchor="_Toc67585391" w:history="1">
        <w:r w:rsidR="004A7F88" w:rsidRPr="00F04F11">
          <w:rPr>
            <w:rStyle w:val="Hyperlink"/>
            <w:noProof/>
            <w:lang w:val="en-GB"/>
          </w:rPr>
          <w:t>3.</w:t>
        </w:r>
        <w:r w:rsidR="004A7F88">
          <w:rPr>
            <w:rFonts w:asciiTheme="minorHAnsi" w:eastAsiaTheme="minorEastAsia" w:hAnsiTheme="minorHAnsi" w:cstheme="minorBidi"/>
            <w:noProof/>
            <w:spacing w:val="0"/>
            <w:sz w:val="24"/>
            <w:szCs w:val="24"/>
            <w:lang w:val="en-AU" w:eastAsia="en-GB"/>
          </w:rPr>
          <w:tab/>
        </w:r>
        <w:r w:rsidR="004A7F88" w:rsidRPr="00F04F11">
          <w:rPr>
            <w:rStyle w:val="Hyperlink"/>
            <w:noProof/>
            <w:lang w:val="en-GB"/>
          </w:rPr>
          <w:t>Aboriginal employment</w:t>
        </w:r>
        <w:r w:rsidR="004A7F88">
          <w:rPr>
            <w:noProof/>
            <w:webHidden/>
          </w:rPr>
          <w:tab/>
        </w:r>
        <w:r w:rsidR="004A7F88">
          <w:rPr>
            <w:noProof/>
            <w:webHidden/>
          </w:rPr>
          <w:fldChar w:fldCharType="begin"/>
        </w:r>
        <w:r w:rsidR="004A7F88">
          <w:rPr>
            <w:noProof/>
            <w:webHidden/>
          </w:rPr>
          <w:instrText xml:space="preserve"> PAGEREF _Toc67585391 \h </w:instrText>
        </w:r>
        <w:r w:rsidR="004A7F88">
          <w:rPr>
            <w:noProof/>
            <w:webHidden/>
          </w:rPr>
        </w:r>
        <w:r w:rsidR="004A7F88">
          <w:rPr>
            <w:noProof/>
            <w:webHidden/>
          </w:rPr>
          <w:fldChar w:fldCharType="separate"/>
        </w:r>
        <w:r w:rsidR="004A7F88">
          <w:rPr>
            <w:noProof/>
            <w:webHidden/>
          </w:rPr>
          <w:t>16</w:t>
        </w:r>
        <w:r w:rsidR="004A7F88">
          <w:rPr>
            <w:noProof/>
            <w:webHidden/>
          </w:rPr>
          <w:fldChar w:fldCharType="end"/>
        </w:r>
      </w:hyperlink>
    </w:p>
    <w:p w14:paraId="7676D57E" w14:textId="6CF731E2" w:rsidR="004A7F88" w:rsidRDefault="003C12A6">
      <w:pPr>
        <w:pStyle w:val="TOC1"/>
        <w:tabs>
          <w:tab w:val="right" w:leader="dot" w:pos="10456"/>
        </w:tabs>
        <w:rPr>
          <w:rFonts w:asciiTheme="minorHAnsi" w:eastAsiaTheme="minorEastAsia" w:hAnsiTheme="minorHAnsi" w:cstheme="minorBidi"/>
          <w:b w:val="0"/>
          <w:noProof/>
          <w:spacing w:val="0"/>
          <w:sz w:val="24"/>
          <w:lang w:val="en-AU" w:eastAsia="en-GB"/>
        </w:rPr>
      </w:pPr>
      <w:hyperlink w:anchor="_Toc67585392" w:history="1">
        <w:r w:rsidR="004A7F88" w:rsidRPr="00F04F11">
          <w:rPr>
            <w:rStyle w:val="Hyperlink"/>
            <w:noProof/>
            <w:lang w:val="en-GB"/>
          </w:rPr>
          <w:t>Appendix B – Definitions</w:t>
        </w:r>
        <w:r w:rsidR="004A7F88">
          <w:rPr>
            <w:noProof/>
            <w:webHidden/>
          </w:rPr>
          <w:tab/>
        </w:r>
        <w:r w:rsidR="004A7F88">
          <w:rPr>
            <w:noProof/>
            <w:webHidden/>
          </w:rPr>
          <w:fldChar w:fldCharType="begin"/>
        </w:r>
        <w:r w:rsidR="004A7F88">
          <w:rPr>
            <w:noProof/>
            <w:webHidden/>
          </w:rPr>
          <w:instrText xml:space="preserve"> PAGEREF _Toc67585392 \h </w:instrText>
        </w:r>
        <w:r w:rsidR="004A7F88">
          <w:rPr>
            <w:noProof/>
            <w:webHidden/>
          </w:rPr>
        </w:r>
        <w:r w:rsidR="004A7F88">
          <w:rPr>
            <w:noProof/>
            <w:webHidden/>
          </w:rPr>
          <w:fldChar w:fldCharType="separate"/>
        </w:r>
        <w:r w:rsidR="004A7F88">
          <w:rPr>
            <w:noProof/>
            <w:webHidden/>
          </w:rPr>
          <w:t>17</w:t>
        </w:r>
        <w:r w:rsidR="004A7F88">
          <w:rPr>
            <w:noProof/>
            <w:webHidden/>
          </w:rPr>
          <w:fldChar w:fldCharType="end"/>
        </w:r>
      </w:hyperlink>
    </w:p>
    <w:p w14:paraId="7F1DF514" w14:textId="47E934AA" w:rsidR="004A7F88" w:rsidRPr="004A7F88" w:rsidRDefault="004A7F88" w:rsidP="004A7F88">
      <w:pPr>
        <w:rPr>
          <w:lang w:val="en-GB"/>
        </w:rPr>
      </w:pPr>
      <w:r>
        <w:rPr>
          <w:lang w:val="en-GB"/>
        </w:rPr>
        <w:fldChar w:fldCharType="end"/>
      </w:r>
    </w:p>
    <w:p w14:paraId="79FB36C1" w14:textId="6019C921" w:rsidR="00FF229D" w:rsidRPr="00FF229D" w:rsidRDefault="00FF229D" w:rsidP="00AA7A4B">
      <w:pPr>
        <w:pStyle w:val="Heading1"/>
        <w:numPr>
          <w:ilvl w:val="0"/>
          <w:numId w:val="3"/>
        </w:numPr>
        <w:rPr>
          <w:lang w:val="en-GB"/>
        </w:rPr>
      </w:pPr>
      <w:bookmarkStart w:id="0" w:name="_Toc67585358"/>
      <w:r w:rsidRPr="00FF229D">
        <w:rPr>
          <w:lang w:val="en-GB"/>
        </w:rPr>
        <w:t>Background</w:t>
      </w:r>
      <w:bookmarkEnd w:id="0"/>
    </w:p>
    <w:p w14:paraId="35707410" w14:textId="5C95FDBF" w:rsidR="00FF229D" w:rsidRPr="00FF229D" w:rsidRDefault="00FF229D" w:rsidP="00FF229D">
      <w:pPr>
        <w:rPr>
          <w:lang w:val="en-GB"/>
        </w:rPr>
      </w:pPr>
      <w:r w:rsidRPr="00FF229D">
        <w:rPr>
          <w:lang w:val="en-GB"/>
        </w:rPr>
        <w:t xml:space="preserve">The Job Victoria Fund provides eligible employers with access to wage subsidies of up to $20,000 over 12-months to meet the costs of taking on new, eligible employees. At least $150 million of the Fund will go to women. $50 million will support women aged over 45 years into employment. </w:t>
      </w:r>
    </w:p>
    <w:p w14:paraId="36215DA8" w14:textId="01346D65" w:rsidR="00FF229D" w:rsidRPr="00FF229D" w:rsidRDefault="00FF229D" w:rsidP="00FF229D">
      <w:pPr>
        <w:rPr>
          <w:lang w:val="en-GB"/>
        </w:rPr>
      </w:pPr>
      <w:r w:rsidRPr="00FF229D">
        <w:rPr>
          <w:lang w:val="en-GB"/>
        </w:rPr>
        <w:t>The Department of Jobs, Precincts and Regions (“the Department”) administers the Fund.</w:t>
      </w:r>
    </w:p>
    <w:p w14:paraId="3912D9B0" w14:textId="62293068" w:rsidR="00FF229D" w:rsidRPr="00FF229D" w:rsidRDefault="00FF229D" w:rsidP="00AA7A4B">
      <w:pPr>
        <w:pStyle w:val="Heading2"/>
        <w:numPr>
          <w:ilvl w:val="1"/>
          <w:numId w:val="3"/>
        </w:numPr>
        <w:rPr>
          <w:lang w:val="en-GB"/>
        </w:rPr>
      </w:pPr>
      <w:bookmarkStart w:id="1" w:name="_Toc67585359"/>
      <w:r w:rsidRPr="00FF229D">
        <w:rPr>
          <w:lang w:val="en-GB"/>
        </w:rPr>
        <w:t>Objectives of the Jobs Victoria Fund</w:t>
      </w:r>
      <w:bookmarkEnd w:id="1"/>
    </w:p>
    <w:p w14:paraId="2335FEBE" w14:textId="77777777" w:rsidR="00FF229D" w:rsidRPr="00FF229D" w:rsidRDefault="00FF229D" w:rsidP="00FF229D">
      <w:pPr>
        <w:rPr>
          <w:lang w:val="en-GB"/>
        </w:rPr>
      </w:pPr>
      <w:r w:rsidRPr="00FF229D">
        <w:rPr>
          <w:lang w:val="en-GB"/>
        </w:rPr>
        <w:t>For unemployed Victorians, the Fund facilitates:</w:t>
      </w:r>
    </w:p>
    <w:p w14:paraId="697A95A3" w14:textId="77777777" w:rsidR="00FF229D" w:rsidRPr="00FF229D" w:rsidRDefault="00FF229D" w:rsidP="00654B59">
      <w:pPr>
        <w:pStyle w:val="Bullet"/>
        <w:rPr>
          <w:lang w:val="en-GB"/>
        </w:rPr>
      </w:pPr>
      <w:r w:rsidRPr="00FF229D">
        <w:rPr>
          <w:lang w:val="en-GB"/>
        </w:rPr>
        <w:t>employment opportunities for people most affected by the pandemic, particularly women</w:t>
      </w:r>
    </w:p>
    <w:p w14:paraId="1ECB8D85" w14:textId="359185F3" w:rsidR="00FF229D" w:rsidRPr="00FF229D" w:rsidRDefault="00FF229D" w:rsidP="00654B59">
      <w:pPr>
        <w:pStyle w:val="Bullet"/>
        <w:rPr>
          <w:lang w:val="en-GB"/>
        </w:rPr>
      </w:pPr>
      <w:r w:rsidRPr="00FF229D">
        <w:rPr>
          <w:lang w:val="en-GB"/>
        </w:rPr>
        <w:t>employment opportunities for people who already face significant barriers to employment</w:t>
      </w:r>
    </w:p>
    <w:p w14:paraId="0200F219" w14:textId="77777777" w:rsidR="00FF229D" w:rsidRPr="00FF229D" w:rsidRDefault="00FF229D" w:rsidP="00654B59">
      <w:pPr>
        <w:pStyle w:val="Bullet"/>
        <w:rPr>
          <w:lang w:val="en-GB"/>
        </w:rPr>
      </w:pPr>
      <w:r w:rsidRPr="00FF229D">
        <w:rPr>
          <w:lang w:val="en-GB"/>
        </w:rPr>
        <w:lastRenderedPageBreak/>
        <w:t>steady and secure employment pathways.</w:t>
      </w:r>
    </w:p>
    <w:p w14:paraId="79546732" w14:textId="77777777" w:rsidR="00FF229D" w:rsidRPr="00FF229D" w:rsidRDefault="00FF229D" w:rsidP="00FF229D">
      <w:pPr>
        <w:rPr>
          <w:lang w:val="en-GB"/>
        </w:rPr>
      </w:pPr>
      <w:r w:rsidRPr="00FF229D">
        <w:rPr>
          <w:lang w:val="en-GB"/>
        </w:rPr>
        <w:t>For employers, the Fund will:</w:t>
      </w:r>
    </w:p>
    <w:p w14:paraId="3607D943" w14:textId="77777777" w:rsidR="00FF229D" w:rsidRPr="00FF229D" w:rsidRDefault="00FF229D" w:rsidP="00654B59">
      <w:pPr>
        <w:pStyle w:val="Bullet"/>
        <w:rPr>
          <w:lang w:val="en-GB"/>
        </w:rPr>
      </w:pPr>
      <w:r w:rsidRPr="00FF229D">
        <w:rPr>
          <w:lang w:val="en-GB"/>
        </w:rPr>
        <w:t>support businesses to recover and grow</w:t>
      </w:r>
    </w:p>
    <w:p w14:paraId="66269FB4" w14:textId="77777777" w:rsidR="00FF229D" w:rsidRPr="00FF229D" w:rsidRDefault="00FF229D" w:rsidP="00654B59">
      <w:pPr>
        <w:pStyle w:val="Bullet"/>
        <w:rPr>
          <w:lang w:val="en-GB"/>
        </w:rPr>
      </w:pPr>
      <w:r w:rsidRPr="00FF229D">
        <w:rPr>
          <w:lang w:val="en-GB"/>
        </w:rPr>
        <w:t>address skill shortages</w:t>
      </w:r>
    </w:p>
    <w:p w14:paraId="3AC0452B" w14:textId="6FBD6ED8" w:rsidR="00FF229D" w:rsidRPr="00654B59" w:rsidRDefault="00FF229D" w:rsidP="00FF229D">
      <w:pPr>
        <w:pStyle w:val="Bullet"/>
        <w:rPr>
          <w:lang w:val="en-GB"/>
        </w:rPr>
      </w:pPr>
      <w:r w:rsidRPr="00FF229D">
        <w:rPr>
          <w:lang w:val="en-GB"/>
        </w:rPr>
        <w:t xml:space="preserve">contribute to corporate social responsibility goals. </w:t>
      </w:r>
    </w:p>
    <w:p w14:paraId="7D2A44A1" w14:textId="5B65203D" w:rsidR="00FF229D" w:rsidRPr="00FF229D" w:rsidRDefault="00FF229D" w:rsidP="00AA7A4B">
      <w:pPr>
        <w:pStyle w:val="Heading2"/>
        <w:numPr>
          <w:ilvl w:val="1"/>
          <w:numId w:val="3"/>
        </w:numPr>
        <w:rPr>
          <w:lang w:val="en-GB"/>
        </w:rPr>
      </w:pPr>
      <w:bookmarkStart w:id="2" w:name="_Toc67585360"/>
      <w:r w:rsidRPr="00FD091C">
        <w:t>Summary</w:t>
      </w:r>
      <w:r w:rsidRPr="00FF229D">
        <w:rPr>
          <w:lang w:val="en-GB"/>
        </w:rPr>
        <w:t xml:space="preserve"> of the employer application process</w:t>
      </w:r>
      <w:bookmarkEnd w:id="2"/>
    </w:p>
    <w:p w14:paraId="5997D5AA" w14:textId="77777777" w:rsidR="00FF229D" w:rsidRPr="00FF229D" w:rsidRDefault="00FF229D" w:rsidP="00FF229D">
      <w:pPr>
        <w:rPr>
          <w:lang w:val="en-GB"/>
        </w:rPr>
      </w:pPr>
      <w:r w:rsidRPr="00FF229D">
        <w:rPr>
          <w:lang w:val="en-GB"/>
        </w:rPr>
        <w:t>There are five steps to apply to the Fund:</w:t>
      </w:r>
    </w:p>
    <w:p w14:paraId="30ECBA4B" w14:textId="77777777" w:rsidR="00FF229D" w:rsidRPr="00FF229D" w:rsidRDefault="00FF229D" w:rsidP="000D0DAB">
      <w:pPr>
        <w:pStyle w:val="Heading3"/>
        <w:rPr>
          <w:lang w:val="en-GB"/>
        </w:rPr>
      </w:pPr>
      <w:r w:rsidRPr="00FF229D">
        <w:rPr>
          <w:lang w:val="en-GB"/>
        </w:rPr>
        <w:t>Step 1: Eligibility</w:t>
      </w:r>
    </w:p>
    <w:p w14:paraId="04B3996E" w14:textId="08EE72ED" w:rsidR="00FF229D" w:rsidRPr="00FF229D" w:rsidRDefault="00FF229D" w:rsidP="00FF229D">
      <w:pPr>
        <w:rPr>
          <w:lang w:val="en-GB"/>
        </w:rPr>
      </w:pPr>
      <w:r w:rsidRPr="00FF229D">
        <w:rPr>
          <w:lang w:val="en-GB"/>
        </w:rPr>
        <w:t xml:space="preserve">Complete the </w:t>
      </w:r>
      <w:r w:rsidRPr="00FF229D">
        <w:rPr>
          <w:i/>
          <w:iCs/>
          <w:lang w:val="en-GB"/>
        </w:rPr>
        <w:t xml:space="preserve">Questionnaire – </w:t>
      </w:r>
      <w:hyperlink r:id="rId11" w:history="1">
        <w:r w:rsidRPr="00FF229D">
          <w:rPr>
            <w:rStyle w:val="Hyperlink"/>
            <w:b/>
            <w:bCs/>
            <w:i/>
            <w:iCs/>
            <w:lang w:val="en-GB"/>
          </w:rPr>
          <w:t>‘Is my business eligible?’</w:t>
        </w:r>
      </w:hyperlink>
      <w:r w:rsidRPr="00FF229D">
        <w:rPr>
          <w:lang w:val="en-GB"/>
        </w:rPr>
        <w:t xml:space="preserve"> and read these guidelines to determine whether all eligibility criteria can be met. </w:t>
      </w:r>
    </w:p>
    <w:p w14:paraId="7911BDB1" w14:textId="1DBBAB1E" w:rsidR="00FF229D" w:rsidRPr="00FF229D" w:rsidRDefault="00FF229D" w:rsidP="00FF229D">
      <w:pPr>
        <w:rPr>
          <w:lang w:val="en-GB"/>
        </w:rPr>
      </w:pPr>
      <w:r w:rsidRPr="00FF229D">
        <w:rPr>
          <w:lang w:val="en-GB"/>
        </w:rPr>
        <w:t xml:space="preserve">If the applicant meets the eligibility criteria and supplies the necessary information, they will receive funding, subject to the availability of funds and </w:t>
      </w:r>
      <w:hyperlink w:anchor="_Applicant_conditions" w:history="1">
        <w:r w:rsidRPr="00FF229D">
          <w:rPr>
            <w:rStyle w:val="Hyperlink"/>
            <w:lang w:val="en-GB"/>
          </w:rPr>
          <w:t>3.4 Applicant conditions</w:t>
        </w:r>
      </w:hyperlink>
      <w:r w:rsidRPr="00FF229D">
        <w:rPr>
          <w:lang w:val="en-GB"/>
        </w:rPr>
        <w:t xml:space="preserve">. </w:t>
      </w:r>
    </w:p>
    <w:p w14:paraId="4C0B6036" w14:textId="4DBB4EBD" w:rsidR="000D0DAB" w:rsidRDefault="00FF229D" w:rsidP="00FF229D">
      <w:pPr>
        <w:rPr>
          <w:b/>
          <w:bCs/>
          <w:lang w:val="en-GB"/>
        </w:rPr>
      </w:pPr>
      <w:r w:rsidRPr="00FF229D">
        <w:rPr>
          <w:lang w:val="en-GB"/>
        </w:rPr>
        <w:t xml:space="preserve">For any questions on eligibility, please contact the Jobs Victoria hotline on 1300 208 575 or email </w:t>
      </w:r>
      <w:hyperlink r:id="rId12" w:history="1">
        <w:r w:rsidR="000D0DAB" w:rsidRPr="00FF229D">
          <w:rPr>
            <w:rStyle w:val="Hyperlink"/>
            <w:b/>
            <w:bCs/>
            <w:lang w:val="en-GB"/>
          </w:rPr>
          <w:t>info@jobs.vic.gov.au</w:t>
        </w:r>
      </w:hyperlink>
      <w:r w:rsidR="000D0DAB">
        <w:rPr>
          <w:b/>
          <w:bCs/>
          <w:lang w:val="en-GB"/>
        </w:rPr>
        <w:t>.</w:t>
      </w:r>
    </w:p>
    <w:p w14:paraId="7D9D3EA6" w14:textId="77777777" w:rsidR="00FF229D" w:rsidRPr="00FF229D" w:rsidRDefault="00FF229D" w:rsidP="000D0DAB">
      <w:pPr>
        <w:pStyle w:val="Heading3"/>
        <w:rPr>
          <w:lang w:val="en-GB"/>
        </w:rPr>
      </w:pPr>
      <w:r w:rsidRPr="00FF229D">
        <w:rPr>
          <w:lang w:val="en-GB"/>
        </w:rPr>
        <w:t>Step 2: Recruitment</w:t>
      </w:r>
    </w:p>
    <w:p w14:paraId="14795F8B" w14:textId="5F3233BB" w:rsidR="00FF229D" w:rsidRPr="00FF229D" w:rsidRDefault="00FF229D" w:rsidP="00FF229D">
      <w:pPr>
        <w:rPr>
          <w:lang w:val="en-GB"/>
        </w:rPr>
      </w:pPr>
      <w:r w:rsidRPr="00FF229D">
        <w:rPr>
          <w:lang w:val="en-GB"/>
        </w:rPr>
        <w:t>Recruit and employ a Victorian from at least one of the priority groups outlined in these guidelines. Each role must be for a minimum of 12 months, offer employment on a fixed-term or permanent basis (</w:t>
      </w:r>
      <w:proofErr w:type="gramStart"/>
      <w:r w:rsidRPr="00FF229D">
        <w:rPr>
          <w:lang w:val="en-GB"/>
        </w:rPr>
        <w:t>i.e.</w:t>
      </w:r>
      <w:proofErr w:type="gramEnd"/>
      <w:r w:rsidRPr="00FF229D">
        <w:rPr>
          <w:lang w:val="en-GB"/>
        </w:rPr>
        <w:t xml:space="preserve"> part-time or full-time, not casual) and provide employees with at least 19 hours of work per week. </w:t>
      </w:r>
    </w:p>
    <w:p w14:paraId="0F530714" w14:textId="03D44446" w:rsidR="00FF229D" w:rsidRPr="00FF229D" w:rsidRDefault="00FF229D" w:rsidP="00FF229D">
      <w:pPr>
        <w:rPr>
          <w:lang w:val="en-GB"/>
        </w:rPr>
      </w:pPr>
      <w:r w:rsidRPr="00FF229D">
        <w:rPr>
          <w:lang w:val="en-GB"/>
        </w:rPr>
        <w:t xml:space="preserve">There is a range of supports available to assist applicants with recruitment (see </w:t>
      </w:r>
      <w:hyperlink w:anchor="_Appendix_A_–" w:history="1">
        <w:r w:rsidRPr="00FF229D">
          <w:rPr>
            <w:rStyle w:val="Hyperlink"/>
            <w:lang w:val="en-GB"/>
          </w:rPr>
          <w:t>Appendix A – Recruitment supports</w:t>
        </w:r>
      </w:hyperlink>
      <w:r w:rsidRPr="00FF229D">
        <w:rPr>
          <w:lang w:val="en-GB"/>
        </w:rPr>
        <w:t xml:space="preserve">). </w:t>
      </w:r>
    </w:p>
    <w:p w14:paraId="7F434ADA" w14:textId="77777777" w:rsidR="00FF229D" w:rsidRPr="00FF229D" w:rsidRDefault="00FF229D" w:rsidP="000D0DAB">
      <w:pPr>
        <w:pStyle w:val="Heading3"/>
        <w:rPr>
          <w:lang w:val="en-GB"/>
        </w:rPr>
      </w:pPr>
      <w:r w:rsidRPr="00FF229D">
        <w:rPr>
          <w:lang w:val="en-GB"/>
        </w:rPr>
        <w:t>Step 3: Application</w:t>
      </w:r>
    </w:p>
    <w:p w14:paraId="539B7D10" w14:textId="0E874131" w:rsidR="00FF229D" w:rsidRPr="00FF229D" w:rsidRDefault="00FF229D" w:rsidP="00FF229D">
      <w:pPr>
        <w:rPr>
          <w:lang w:val="en-GB"/>
        </w:rPr>
      </w:pPr>
      <w:r w:rsidRPr="00FF229D">
        <w:rPr>
          <w:lang w:val="en-GB"/>
        </w:rPr>
        <w:t xml:space="preserve">Submit an online application on the </w:t>
      </w:r>
      <w:hyperlink r:id="rId13" w:history="1">
        <w:r w:rsidRPr="00FF229D">
          <w:rPr>
            <w:rStyle w:val="Hyperlink"/>
            <w:b/>
            <w:bCs/>
            <w:lang w:val="en-GB"/>
          </w:rPr>
          <w:t>Jobs Victoria</w:t>
        </w:r>
      </w:hyperlink>
      <w:r w:rsidRPr="00FF229D">
        <w:rPr>
          <w:lang w:val="en-GB"/>
        </w:rPr>
        <w:t xml:space="preserve"> website.</w:t>
      </w:r>
    </w:p>
    <w:p w14:paraId="0F19AFFF" w14:textId="062569F1" w:rsidR="00FF229D" w:rsidRPr="00FF229D" w:rsidRDefault="00FF229D" w:rsidP="00FF229D">
      <w:pPr>
        <w:rPr>
          <w:lang w:val="en-GB"/>
        </w:rPr>
      </w:pPr>
      <w:r w:rsidRPr="00FF229D">
        <w:rPr>
          <w:lang w:val="en-GB"/>
        </w:rPr>
        <w:t>Employers must provide information and supporting documentation against all eligibility criteria. This includes an Employee Consent Form to be completed by each employee.</w:t>
      </w:r>
    </w:p>
    <w:p w14:paraId="678193AA" w14:textId="77777777" w:rsidR="00FF229D" w:rsidRPr="00FF229D" w:rsidRDefault="00FF229D" w:rsidP="000D0DAB">
      <w:pPr>
        <w:pStyle w:val="Heading3"/>
        <w:rPr>
          <w:lang w:val="en-GB"/>
        </w:rPr>
      </w:pPr>
      <w:r w:rsidRPr="00FF229D">
        <w:rPr>
          <w:lang w:val="en-GB"/>
        </w:rPr>
        <w:t>Step 4: Outcome</w:t>
      </w:r>
    </w:p>
    <w:p w14:paraId="710ACC47" w14:textId="645E05D6" w:rsidR="00FF229D" w:rsidRPr="00FF229D" w:rsidRDefault="00FF229D" w:rsidP="00FF229D">
      <w:pPr>
        <w:rPr>
          <w:lang w:val="en-GB"/>
        </w:rPr>
      </w:pPr>
      <w:r w:rsidRPr="00FF229D">
        <w:rPr>
          <w:lang w:val="en-GB"/>
        </w:rPr>
        <w:t xml:space="preserve">Once the application is assessed, applicants will be notified of the outcome by the Department. </w:t>
      </w:r>
    </w:p>
    <w:p w14:paraId="464BB2BC" w14:textId="0612C0EE" w:rsidR="00FF229D" w:rsidRPr="00FF229D" w:rsidRDefault="00FF229D" w:rsidP="00FF229D">
      <w:pPr>
        <w:rPr>
          <w:lang w:val="en-GB"/>
        </w:rPr>
      </w:pPr>
      <w:r w:rsidRPr="00FF229D">
        <w:rPr>
          <w:lang w:val="en-GB"/>
        </w:rPr>
        <w:t xml:space="preserve">If applicants are successful, they will be sent a letter of offer and a Grant Agreement for their signature. </w:t>
      </w:r>
    </w:p>
    <w:p w14:paraId="6114A259" w14:textId="77777777" w:rsidR="00FF229D" w:rsidRPr="00FF229D" w:rsidRDefault="00FF229D" w:rsidP="000D0DAB">
      <w:pPr>
        <w:pStyle w:val="Heading3"/>
        <w:rPr>
          <w:lang w:val="en-GB"/>
        </w:rPr>
      </w:pPr>
      <w:r w:rsidRPr="00FF229D">
        <w:rPr>
          <w:lang w:val="en-GB"/>
        </w:rPr>
        <w:t>Step 5: Reporting and payment</w:t>
      </w:r>
    </w:p>
    <w:p w14:paraId="6FA5182E" w14:textId="07E39C86" w:rsidR="00FF229D" w:rsidRPr="00FF229D" w:rsidRDefault="00FF229D" w:rsidP="00FF229D">
      <w:pPr>
        <w:rPr>
          <w:lang w:val="en-GB"/>
        </w:rPr>
      </w:pPr>
      <w:r w:rsidRPr="00FF229D">
        <w:rPr>
          <w:lang w:val="en-GB"/>
        </w:rPr>
        <w:t xml:space="preserve">Successful applicants will receive funding in line with the payment schedule in the executed Grant Agreement, provided all the conditions in the Grant Agreement are met. </w:t>
      </w:r>
    </w:p>
    <w:p w14:paraId="2B9D9379" w14:textId="1C303502" w:rsidR="00FF229D" w:rsidRPr="00FF229D" w:rsidRDefault="00FF229D" w:rsidP="00AA7A4B">
      <w:pPr>
        <w:pStyle w:val="Heading2"/>
        <w:numPr>
          <w:ilvl w:val="1"/>
          <w:numId w:val="3"/>
        </w:numPr>
        <w:rPr>
          <w:lang w:val="en-GB"/>
        </w:rPr>
      </w:pPr>
      <w:bookmarkStart w:id="3" w:name="_Toc67585361"/>
      <w:r w:rsidRPr="00FF229D">
        <w:rPr>
          <w:lang w:val="en-GB"/>
        </w:rPr>
        <w:t>Audit and compliance</w:t>
      </w:r>
      <w:bookmarkEnd w:id="3"/>
    </w:p>
    <w:p w14:paraId="572F5F0C" w14:textId="77777777" w:rsidR="00FF229D" w:rsidRPr="00FF229D" w:rsidRDefault="00FF229D" w:rsidP="00FF229D">
      <w:pPr>
        <w:rPr>
          <w:lang w:val="en-GB"/>
        </w:rPr>
      </w:pPr>
      <w:r w:rsidRPr="00FF229D">
        <w:rPr>
          <w:lang w:val="en-GB"/>
        </w:rPr>
        <w:t xml:space="preserve">Funding recipients may be subject to a range of compliance and probity processes, including an independent audit. As part of this process, recipients are required to answer any enquiries from the Department and/or an independent auditor, and </w:t>
      </w:r>
      <w:r w:rsidRPr="00FF229D">
        <w:rPr>
          <w:lang w:val="en-GB"/>
        </w:rPr>
        <w:br/>
        <w:t>to permit inspections and access to project accounts, employment records, project assets and project sites.</w:t>
      </w:r>
    </w:p>
    <w:p w14:paraId="6E6D0C83" w14:textId="2868794A" w:rsidR="00FF229D" w:rsidRPr="00FF229D" w:rsidRDefault="00FF229D" w:rsidP="00FF229D">
      <w:pPr>
        <w:rPr>
          <w:lang w:val="en-GB"/>
        </w:rPr>
      </w:pPr>
      <w:r w:rsidRPr="00FF229D">
        <w:rPr>
          <w:lang w:val="en-GB"/>
        </w:rPr>
        <w:t xml:space="preserve">Any applicant or recipient found to have used false or misleading information may be referred to the relevant law enforcement authority. </w:t>
      </w:r>
    </w:p>
    <w:p w14:paraId="6885DF72" w14:textId="2538D59F" w:rsidR="00FF229D" w:rsidRPr="00FF229D" w:rsidRDefault="00FF229D" w:rsidP="00AA7A4B">
      <w:pPr>
        <w:pStyle w:val="Heading1"/>
        <w:numPr>
          <w:ilvl w:val="0"/>
          <w:numId w:val="3"/>
        </w:numPr>
        <w:rPr>
          <w:lang w:val="en-GB"/>
        </w:rPr>
      </w:pPr>
      <w:bookmarkStart w:id="4" w:name="_Toc67585362"/>
      <w:r w:rsidRPr="00FF229D">
        <w:rPr>
          <w:lang w:val="en-GB"/>
        </w:rPr>
        <w:lastRenderedPageBreak/>
        <w:t>Available funding</w:t>
      </w:r>
      <w:bookmarkEnd w:id="4"/>
    </w:p>
    <w:p w14:paraId="72D9FAF1" w14:textId="77777777" w:rsidR="00FF229D" w:rsidRPr="00FF229D" w:rsidRDefault="00FF229D" w:rsidP="00FF229D">
      <w:pPr>
        <w:rPr>
          <w:lang w:val="en-GB"/>
        </w:rPr>
      </w:pPr>
      <w:r w:rsidRPr="00FF229D">
        <w:rPr>
          <w:lang w:val="en-GB"/>
        </w:rPr>
        <w:t xml:space="preserve">Employers can apply to the Jobs Victoria Fund for 12-month wage subsidies to meet the costs of taking on new, eligible employees. </w:t>
      </w:r>
    </w:p>
    <w:p w14:paraId="2F7CEA49" w14:textId="77777777" w:rsidR="00FF229D" w:rsidRPr="00FF229D" w:rsidRDefault="00FF229D" w:rsidP="00FF229D">
      <w:pPr>
        <w:rPr>
          <w:lang w:val="en-GB"/>
        </w:rPr>
      </w:pPr>
      <w:r w:rsidRPr="00FF229D">
        <w:rPr>
          <w:lang w:val="en-GB"/>
        </w:rPr>
        <w:t xml:space="preserve">Two levels of wage subsidies are available. A level 1 wage subsidy of up to $20,000 per employee and a level 2 wage subsidy of up to $10,000 per employee (all wage subsidies are exclusive of GST). </w:t>
      </w:r>
    </w:p>
    <w:p w14:paraId="6634BA60" w14:textId="3D10F507" w:rsidR="00FF229D" w:rsidRPr="00FF229D" w:rsidRDefault="00FF229D" w:rsidP="00FF229D">
      <w:pPr>
        <w:rPr>
          <w:lang w:val="en-GB"/>
        </w:rPr>
      </w:pPr>
      <w:r w:rsidRPr="00FF229D">
        <w:rPr>
          <w:lang w:val="en-GB"/>
        </w:rPr>
        <w:t>The wage subsidy amount available depends on each employee and whether the job is full-time or part-time (see below).</w:t>
      </w:r>
    </w:p>
    <w:p w14:paraId="0FDED623" w14:textId="77777777" w:rsidR="00FF229D" w:rsidRPr="00FF229D" w:rsidRDefault="00FF229D" w:rsidP="00FF229D">
      <w:pPr>
        <w:rPr>
          <w:lang w:val="en-GB"/>
        </w:rPr>
      </w:pPr>
      <w:r w:rsidRPr="00FF229D">
        <w:rPr>
          <w:lang w:val="en-GB"/>
        </w:rPr>
        <w:t>If the employee identifies with multiple groups, the higher wage subsidy applies.</w:t>
      </w:r>
    </w:p>
    <w:p w14:paraId="3D25E8BC" w14:textId="3A7D1488" w:rsidR="00FF229D" w:rsidRPr="00FF229D" w:rsidRDefault="00FF229D" w:rsidP="00FF229D">
      <w:pPr>
        <w:rPr>
          <w:lang w:val="en-GB"/>
        </w:rPr>
      </w:pPr>
      <w:r w:rsidRPr="00FF229D">
        <w:rPr>
          <w:lang w:val="en-GB"/>
        </w:rPr>
        <w:t>Employers seeking a wage subsidy for more than three employees must provide at least 60 per cent of the roles for which subsidies are being sought to women.</w:t>
      </w:r>
    </w:p>
    <w:tbl>
      <w:tblPr>
        <w:tblStyle w:val="PlainTable2"/>
        <w:tblW w:w="0" w:type="auto"/>
        <w:tblLayout w:type="fixed"/>
        <w:tblLook w:val="0000" w:firstRow="0" w:lastRow="0" w:firstColumn="0" w:lastColumn="0" w:noHBand="0" w:noVBand="0"/>
      </w:tblPr>
      <w:tblGrid>
        <w:gridCol w:w="2339"/>
        <w:gridCol w:w="8009"/>
      </w:tblGrid>
      <w:tr w:rsidR="00FF229D" w:rsidRPr="00FF229D" w14:paraId="0D7E8EBC" w14:textId="77777777" w:rsidTr="00A4169E">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725E413F" w14:textId="63F23798" w:rsidR="00FF229D" w:rsidRPr="00FF229D" w:rsidRDefault="00FF229D" w:rsidP="00BF6FAB">
            <w:pPr>
              <w:pStyle w:val="TableHeading"/>
              <w:rPr>
                <w:lang w:val="en-GB"/>
              </w:rPr>
            </w:pPr>
            <w:r w:rsidRPr="00FF229D">
              <w:rPr>
                <w:lang w:val="en-GB"/>
              </w:rPr>
              <w:t xml:space="preserve">Level 1 wage subsidies </w:t>
            </w:r>
          </w:p>
          <w:p w14:paraId="24F9FCA2" w14:textId="6975095F" w:rsidR="00FF229D" w:rsidRPr="00FF229D" w:rsidRDefault="00FF229D" w:rsidP="00BF6FAB">
            <w:pPr>
              <w:pStyle w:val="TableHeading"/>
              <w:rPr>
                <w:lang w:val="en-GB"/>
              </w:rPr>
            </w:pPr>
            <w:r w:rsidRPr="00FF229D">
              <w:rPr>
                <w:lang w:val="en-GB"/>
              </w:rPr>
              <w:t>($20,000 per 1.0 full time equivalent (FTE) pro rata)</w:t>
            </w:r>
          </w:p>
        </w:tc>
        <w:tc>
          <w:tcPr>
            <w:cnfStyle w:val="000001000000" w:firstRow="0" w:lastRow="0" w:firstColumn="0" w:lastColumn="0" w:oddVBand="0" w:evenVBand="1" w:oddHBand="0" w:evenHBand="0" w:firstRowFirstColumn="0" w:firstRowLastColumn="0" w:lastRowFirstColumn="0" w:lastRowLastColumn="0"/>
            <w:tcW w:w="8009" w:type="dxa"/>
          </w:tcPr>
          <w:p w14:paraId="255D9850" w14:textId="77777777" w:rsidR="00FF229D" w:rsidRPr="00FF229D" w:rsidRDefault="00FF229D" w:rsidP="008E5CDF">
            <w:pPr>
              <w:pStyle w:val="TableCopy"/>
              <w:rPr>
                <w:lang w:val="en-GB"/>
              </w:rPr>
            </w:pPr>
            <w:r w:rsidRPr="00FF229D">
              <w:rPr>
                <w:lang w:val="en-GB"/>
              </w:rPr>
              <w:t>Employers who employ people from the following groups may be eligible for up to $20,000 per employee:</w:t>
            </w:r>
          </w:p>
          <w:p w14:paraId="12A8F727" w14:textId="77777777" w:rsidR="00FF229D" w:rsidRPr="00FF229D" w:rsidRDefault="00FF229D" w:rsidP="00887E2A">
            <w:pPr>
              <w:pStyle w:val="TableBullet"/>
              <w:rPr>
                <w:lang w:val="en-GB"/>
              </w:rPr>
            </w:pPr>
            <w:r w:rsidRPr="00FF229D">
              <w:rPr>
                <w:lang w:val="en-GB"/>
              </w:rPr>
              <w:t>women over 45 years</w:t>
            </w:r>
          </w:p>
          <w:p w14:paraId="771E4E95" w14:textId="77777777" w:rsidR="00FF229D" w:rsidRPr="00FF229D" w:rsidRDefault="00FF229D" w:rsidP="00887E2A">
            <w:pPr>
              <w:pStyle w:val="TableBullet"/>
              <w:rPr>
                <w:lang w:val="en-GB"/>
              </w:rPr>
            </w:pPr>
            <w:r w:rsidRPr="00FF229D">
              <w:rPr>
                <w:lang w:val="en-GB"/>
              </w:rPr>
              <w:t>long-term unemployed people (unemployed for six months or more)</w:t>
            </w:r>
          </w:p>
          <w:p w14:paraId="60B9ABE7" w14:textId="03C64A4B" w:rsidR="00FF229D" w:rsidRPr="00FF229D" w:rsidRDefault="00FF229D" w:rsidP="00887E2A">
            <w:pPr>
              <w:pStyle w:val="TableBullet"/>
              <w:rPr>
                <w:lang w:val="en-GB"/>
              </w:rPr>
            </w:pPr>
            <w:r w:rsidRPr="00FF229D">
              <w:rPr>
                <w:lang w:val="en-GB"/>
              </w:rPr>
              <w:t xml:space="preserve">jobseekers registered with a Jobs Victoria Partner (see </w:t>
            </w:r>
            <w:hyperlink w:anchor="_Appendix_A_–" w:history="1">
              <w:r w:rsidRPr="009F2811">
                <w:rPr>
                  <w:rStyle w:val="Hyperlink"/>
                  <w:lang w:val="en-GB"/>
                </w:rPr>
                <w:t>Appendix A</w:t>
              </w:r>
            </w:hyperlink>
            <w:r w:rsidRPr="00FF229D">
              <w:rPr>
                <w:lang w:val="en-GB"/>
              </w:rPr>
              <w:t>)</w:t>
            </w:r>
          </w:p>
          <w:p w14:paraId="4E04ADD6" w14:textId="77777777" w:rsidR="00FF229D" w:rsidRPr="00FF229D" w:rsidRDefault="00FF229D" w:rsidP="00887E2A">
            <w:pPr>
              <w:pStyle w:val="TableBullet"/>
              <w:rPr>
                <w:lang w:val="en-GB"/>
              </w:rPr>
            </w:pPr>
            <w:r w:rsidRPr="00FF229D">
              <w:rPr>
                <w:lang w:val="en-GB"/>
              </w:rPr>
              <w:t>Aboriginal and/or Torres Strait Islander people</w:t>
            </w:r>
            <w:r w:rsidRPr="00FF229D">
              <w:rPr>
                <w:vertAlign w:val="superscript"/>
                <w:lang w:val="en-GB"/>
              </w:rPr>
              <w:footnoteReference w:id="2"/>
            </w:r>
          </w:p>
          <w:p w14:paraId="248DBA51" w14:textId="77777777" w:rsidR="00FF229D" w:rsidRPr="00FF229D" w:rsidRDefault="00FF229D" w:rsidP="00887E2A">
            <w:pPr>
              <w:pStyle w:val="TableBullet"/>
              <w:rPr>
                <w:lang w:val="en-GB"/>
              </w:rPr>
            </w:pPr>
            <w:r w:rsidRPr="00FF229D">
              <w:rPr>
                <w:lang w:val="en-GB"/>
              </w:rPr>
              <w:t>people with disability</w:t>
            </w:r>
          </w:p>
          <w:p w14:paraId="6C318B84" w14:textId="77777777" w:rsidR="00FF229D" w:rsidRPr="00FF229D" w:rsidRDefault="00FF229D" w:rsidP="00887E2A">
            <w:pPr>
              <w:pStyle w:val="TableBullet"/>
              <w:rPr>
                <w:lang w:val="en-GB"/>
              </w:rPr>
            </w:pPr>
            <w:r w:rsidRPr="00FF229D">
              <w:rPr>
                <w:lang w:val="en-GB"/>
              </w:rPr>
              <w:t>people seeking asylum/refugees</w:t>
            </w:r>
          </w:p>
          <w:p w14:paraId="43C23BD7" w14:textId="77777777" w:rsidR="00FF229D" w:rsidRPr="00FF229D" w:rsidRDefault="00FF229D" w:rsidP="00887E2A">
            <w:pPr>
              <w:pStyle w:val="TableBullet"/>
              <w:rPr>
                <w:lang w:val="en-GB"/>
              </w:rPr>
            </w:pPr>
            <w:r w:rsidRPr="00FF229D">
              <w:rPr>
                <w:lang w:val="en-GB"/>
              </w:rPr>
              <w:t>newly arrived migrants from non-English speaking backgrounds.</w:t>
            </w:r>
          </w:p>
        </w:tc>
      </w:tr>
      <w:tr w:rsidR="00FF229D" w:rsidRPr="00FF229D" w14:paraId="4F99879F" w14:textId="77777777" w:rsidTr="00A4169E">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B367DCA" w14:textId="49F572F4" w:rsidR="00FF229D" w:rsidRPr="00FF229D" w:rsidRDefault="00FF229D" w:rsidP="00BF6FAB">
            <w:pPr>
              <w:pStyle w:val="TableHeading"/>
              <w:rPr>
                <w:lang w:val="en-GB"/>
              </w:rPr>
            </w:pPr>
            <w:r w:rsidRPr="00FF229D">
              <w:rPr>
                <w:lang w:val="en-GB"/>
              </w:rPr>
              <w:t xml:space="preserve">Level 2 wage subsidies </w:t>
            </w:r>
          </w:p>
          <w:p w14:paraId="048490C5" w14:textId="26B50419" w:rsidR="00FF229D" w:rsidRPr="00FF229D" w:rsidRDefault="00FF229D" w:rsidP="00BF6FAB">
            <w:pPr>
              <w:pStyle w:val="TableHeading"/>
              <w:rPr>
                <w:lang w:val="en-GB"/>
              </w:rPr>
            </w:pPr>
            <w:r w:rsidRPr="00FF229D">
              <w:rPr>
                <w:lang w:val="en-GB"/>
              </w:rPr>
              <w:t xml:space="preserve">($10,000 per 1.0 FTE pro rata) </w:t>
            </w:r>
          </w:p>
        </w:tc>
        <w:tc>
          <w:tcPr>
            <w:cnfStyle w:val="000001000000" w:firstRow="0" w:lastRow="0" w:firstColumn="0" w:lastColumn="0" w:oddVBand="0" w:evenVBand="1" w:oddHBand="0" w:evenHBand="0" w:firstRowFirstColumn="0" w:firstRowLastColumn="0" w:lastRowFirstColumn="0" w:lastRowLastColumn="0"/>
            <w:tcW w:w="8009" w:type="dxa"/>
          </w:tcPr>
          <w:p w14:paraId="6CB275A2" w14:textId="77777777" w:rsidR="00FF229D" w:rsidRPr="00FF229D" w:rsidRDefault="00FF229D" w:rsidP="008E5CDF">
            <w:pPr>
              <w:pStyle w:val="TableCopy"/>
              <w:rPr>
                <w:lang w:val="en-GB"/>
              </w:rPr>
            </w:pPr>
            <w:r w:rsidRPr="00FF229D">
              <w:rPr>
                <w:lang w:val="en-GB"/>
              </w:rPr>
              <w:t>Employers who employ people from the following groups may be eligible for up to $10,000 per employee:</w:t>
            </w:r>
          </w:p>
          <w:p w14:paraId="1557BE2B" w14:textId="77777777" w:rsidR="00FF229D" w:rsidRPr="00FF229D" w:rsidRDefault="00FF229D" w:rsidP="00887E2A">
            <w:pPr>
              <w:pStyle w:val="TableBullet"/>
              <w:rPr>
                <w:lang w:val="en-GB"/>
              </w:rPr>
            </w:pPr>
            <w:r w:rsidRPr="00FF229D">
              <w:rPr>
                <w:lang w:val="en-GB"/>
              </w:rPr>
              <w:t xml:space="preserve">young people aged under 25 </w:t>
            </w:r>
          </w:p>
          <w:p w14:paraId="622723E7" w14:textId="77777777" w:rsidR="00FF229D" w:rsidRPr="00FF229D" w:rsidRDefault="00FF229D" w:rsidP="00887E2A">
            <w:pPr>
              <w:pStyle w:val="TableBullet"/>
              <w:rPr>
                <w:lang w:val="en-GB"/>
              </w:rPr>
            </w:pPr>
            <w:r w:rsidRPr="00FF229D">
              <w:rPr>
                <w:lang w:val="en-GB"/>
              </w:rPr>
              <w:t>people over 45 years</w:t>
            </w:r>
          </w:p>
          <w:p w14:paraId="12993C2C" w14:textId="77777777" w:rsidR="00FF229D" w:rsidRPr="00FF229D" w:rsidRDefault="00FF229D" w:rsidP="00887E2A">
            <w:pPr>
              <w:pStyle w:val="TableBullet"/>
              <w:rPr>
                <w:lang w:val="en-GB"/>
              </w:rPr>
            </w:pPr>
            <w:r w:rsidRPr="00FF229D">
              <w:rPr>
                <w:lang w:val="en-GB"/>
              </w:rPr>
              <w:t>veterans</w:t>
            </w:r>
          </w:p>
          <w:p w14:paraId="1BA62300" w14:textId="24D48ADB" w:rsidR="00FF229D" w:rsidRPr="00FF229D" w:rsidRDefault="00FF229D" w:rsidP="00887E2A">
            <w:pPr>
              <w:pStyle w:val="TableBullet"/>
              <w:rPr>
                <w:lang w:val="en-GB"/>
              </w:rPr>
            </w:pPr>
            <w:r w:rsidRPr="00FF229D">
              <w:rPr>
                <w:lang w:val="en-GB"/>
              </w:rPr>
              <w:t xml:space="preserve">people previously employed under the Working for Victoria initiative (see </w:t>
            </w:r>
            <w:hyperlink w:anchor="_Applicant_conditions" w:history="1">
              <w:r w:rsidRPr="009F2811">
                <w:rPr>
                  <w:rStyle w:val="Hyperlink"/>
                  <w:lang w:val="en-GB"/>
                </w:rPr>
                <w:t>3.4 Applicant conditions</w:t>
              </w:r>
            </w:hyperlink>
            <w:r w:rsidRPr="00FF229D">
              <w:rPr>
                <w:lang w:val="en-GB"/>
              </w:rPr>
              <w:t>).</w:t>
            </w:r>
          </w:p>
        </w:tc>
      </w:tr>
      <w:tr w:rsidR="00FF229D" w:rsidRPr="00FF229D" w14:paraId="3CDF7EDC" w14:textId="77777777" w:rsidTr="00EE4E54">
        <w:trPr>
          <w:cnfStyle w:val="000000100000" w:firstRow="0" w:lastRow="0" w:firstColumn="0" w:lastColumn="0" w:oddVBand="0" w:evenVBand="0" w:oddHBand="1" w:evenHBand="0" w:firstRowFirstColumn="0" w:firstRowLastColumn="0" w:lastRowFirstColumn="0" w:lastRowLastColumn="0"/>
          <w:cantSplit/>
          <w:trHeight w:val="753"/>
        </w:trPr>
        <w:tc>
          <w:tcPr>
            <w:cnfStyle w:val="000010000000" w:firstRow="0" w:lastRow="0" w:firstColumn="0" w:lastColumn="0" w:oddVBand="1" w:evenVBand="0" w:oddHBand="0" w:evenHBand="0" w:firstRowFirstColumn="0" w:firstRowLastColumn="0" w:lastRowFirstColumn="0" w:lastRowLastColumn="0"/>
            <w:tcW w:w="2339" w:type="dxa"/>
          </w:tcPr>
          <w:p w14:paraId="4FF4C9AF" w14:textId="698E1A68" w:rsidR="00FF229D" w:rsidRPr="00FF229D" w:rsidRDefault="00FF229D" w:rsidP="00BF6FAB">
            <w:pPr>
              <w:pStyle w:val="TableHeading"/>
              <w:rPr>
                <w:lang w:val="en-GB"/>
              </w:rPr>
            </w:pPr>
            <w:r w:rsidRPr="00FF229D">
              <w:rPr>
                <w:lang w:val="en-GB"/>
              </w:rPr>
              <w:t xml:space="preserve">Full-time or part-time employment </w:t>
            </w:r>
          </w:p>
        </w:tc>
        <w:tc>
          <w:tcPr>
            <w:cnfStyle w:val="000001000000" w:firstRow="0" w:lastRow="0" w:firstColumn="0" w:lastColumn="0" w:oddVBand="0" w:evenVBand="1" w:oddHBand="0" w:evenHBand="0" w:firstRowFirstColumn="0" w:firstRowLastColumn="0" w:lastRowFirstColumn="0" w:lastRowLastColumn="0"/>
            <w:tcW w:w="8009" w:type="dxa"/>
          </w:tcPr>
          <w:p w14:paraId="7CEA2021" w14:textId="5F4C84B0" w:rsidR="00FF229D" w:rsidRPr="00FF229D" w:rsidRDefault="00FF229D" w:rsidP="008E5CDF">
            <w:pPr>
              <w:pStyle w:val="TableCopy"/>
              <w:rPr>
                <w:lang w:val="en-GB"/>
              </w:rPr>
            </w:pPr>
            <w:r w:rsidRPr="00FF229D">
              <w:rPr>
                <w:lang w:val="en-GB"/>
              </w:rPr>
              <w:t>The level of the wage subsidy available is calculated pro rata based on whether the job is full- or part-time. For the purposes of this Fund, full-time employment is 38 hours per week and any part-time jobs must be for a minimum of 19 hours per week.</w:t>
            </w:r>
          </w:p>
        </w:tc>
      </w:tr>
    </w:tbl>
    <w:p w14:paraId="14E7AA6E" w14:textId="6A375F1C" w:rsidR="00FF229D" w:rsidRPr="00FF229D" w:rsidRDefault="00FF229D" w:rsidP="00AA7A4B">
      <w:pPr>
        <w:pStyle w:val="Heading1"/>
        <w:numPr>
          <w:ilvl w:val="0"/>
          <w:numId w:val="3"/>
        </w:numPr>
        <w:rPr>
          <w:lang w:val="en-GB"/>
        </w:rPr>
      </w:pPr>
      <w:bookmarkStart w:id="5" w:name="_Eligibility_criteria"/>
      <w:bookmarkStart w:id="6" w:name="_Toc67585363"/>
      <w:bookmarkEnd w:id="5"/>
      <w:r w:rsidRPr="00FF229D">
        <w:rPr>
          <w:lang w:val="en-GB"/>
        </w:rPr>
        <w:t>Eligibility criteria</w:t>
      </w:r>
      <w:bookmarkEnd w:id="6"/>
      <w:r w:rsidRPr="00FF229D">
        <w:rPr>
          <w:lang w:val="en-GB"/>
        </w:rPr>
        <w:t xml:space="preserve"> </w:t>
      </w:r>
    </w:p>
    <w:p w14:paraId="1681F423" w14:textId="77777777" w:rsidR="00FF229D" w:rsidRPr="00FF229D" w:rsidRDefault="00FF229D" w:rsidP="00FF229D">
      <w:pPr>
        <w:rPr>
          <w:lang w:val="en-GB"/>
        </w:rPr>
      </w:pPr>
      <w:r w:rsidRPr="00FF229D">
        <w:rPr>
          <w:lang w:val="en-GB"/>
        </w:rPr>
        <w:t xml:space="preserve">Applicants must meet </w:t>
      </w:r>
      <w:r w:rsidRPr="00FF229D">
        <w:rPr>
          <w:u w:val="thick"/>
          <w:lang w:val="en-GB"/>
        </w:rPr>
        <w:t>all</w:t>
      </w:r>
      <w:r w:rsidRPr="00FF229D">
        <w:rPr>
          <w:lang w:val="en-GB"/>
        </w:rPr>
        <w:t xml:space="preserve"> eligibility criteria detailed in this section to receive funding. </w:t>
      </w:r>
    </w:p>
    <w:p w14:paraId="127FA2B5" w14:textId="68161339" w:rsidR="00FF229D" w:rsidRPr="00FF229D" w:rsidRDefault="00FF229D" w:rsidP="00FF229D">
      <w:pPr>
        <w:rPr>
          <w:lang w:val="en-GB"/>
        </w:rPr>
      </w:pPr>
      <w:r w:rsidRPr="00FF229D">
        <w:rPr>
          <w:lang w:val="en-GB"/>
        </w:rPr>
        <w:t xml:space="preserve">If the applicant meets all eligibility criteria and supplies the necessary information, they will receive funding (subject to the availability of funds and </w:t>
      </w:r>
      <w:hyperlink w:anchor="_Applicant_conditions" w:history="1">
        <w:r w:rsidRPr="00FF229D">
          <w:rPr>
            <w:rStyle w:val="Hyperlink"/>
            <w:lang w:val="en-GB"/>
          </w:rPr>
          <w:t>3.4 Applicant conditions</w:t>
        </w:r>
      </w:hyperlink>
      <w:r w:rsidRPr="00FF229D">
        <w:rPr>
          <w:lang w:val="en-GB"/>
        </w:rPr>
        <w:t>).</w:t>
      </w:r>
    </w:p>
    <w:p w14:paraId="4591B1E0" w14:textId="19A10BD3" w:rsidR="00FF229D" w:rsidRPr="00FF229D" w:rsidRDefault="00FF229D" w:rsidP="00AA7A4B">
      <w:pPr>
        <w:pStyle w:val="Heading2"/>
        <w:numPr>
          <w:ilvl w:val="1"/>
          <w:numId w:val="3"/>
        </w:numPr>
        <w:rPr>
          <w:lang w:val="en-GB"/>
        </w:rPr>
      </w:pPr>
      <w:bookmarkStart w:id="7" w:name="_Criterion_A_–"/>
      <w:bookmarkStart w:id="8" w:name="_Toc67585364"/>
      <w:bookmarkEnd w:id="7"/>
      <w:r w:rsidRPr="00FF229D">
        <w:rPr>
          <w:lang w:val="en-GB"/>
        </w:rPr>
        <w:lastRenderedPageBreak/>
        <w:t>Criterion A – Applicant eligibility</w:t>
      </w:r>
      <w:bookmarkEnd w:id="8"/>
      <w:r w:rsidRPr="00FF229D">
        <w:rPr>
          <w:lang w:val="en-GB"/>
        </w:rPr>
        <w:t xml:space="preserve"> </w:t>
      </w:r>
    </w:p>
    <w:tbl>
      <w:tblPr>
        <w:tblStyle w:val="PlainTable2"/>
        <w:tblW w:w="0" w:type="auto"/>
        <w:tblLayout w:type="fixed"/>
        <w:tblLook w:val="0000" w:firstRow="0" w:lastRow="0" w:firstColumn="0" w:lastColumn="0" w:noHBand="0" w:noVBand="0"/>
      </w:tblPr>
      <w:tblGrid>
        <w:gridCol w:w="2339"/>
        <w:gridCol w:w="8009"/>
      </w:tblGrid>
      <w:tr w:rsidR="00FF229D" w:rsidRPr="00FF229D" w14:paraId="1D2CC46C" w14:textId="77777777" w:rsidTr="00A95FB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0348" w:type="dxa"/>
            <w:gridSpan w:val="2"/>
          </w:tcPr>
          <w:p w14:paraId="0161BA17" w14:textId="77777777" w:rsidR="00FF229D" w:rsidRPr="00FF229D" w:rsidRDefault="00FF229D" w:rsidP="00A95FBC">
            <w:pPr>
              <w:pStyle w:val="TableHeading"/>
              <w:rPr>
                <w:lang w:val="en-GB"/>
              </w:rPr>
            </w:pPr>
            <w:r w:rsidRPr="00FF229D">
              <w:rPr>
                <w:lang w:val="en-GB"/>
              </w:rPr>
              <w:t>Eligible employers</w:t>
            </w:r>
          </w:p>
        </w:tc>
      </w:tr>
      <w:tr w:rsidR="00FF229D" w:rsidRPr="00FF229D" w14:paraId="04081904" w14:textId="77777777" w:rsidTr="00A95FB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9782253" w14:textId="10FE191A" w:rsidR="00FF229D" w:rsidRPr="00FF229D" w:rsidRDefault="00FF229D" w:rsidP="00A95FBC">
            <w:pPr>
              <w:pStyle w:val="TableHeading"/>
              <w:rPr>
                <w:lang w:val="en-GB"/>
              </w:rPr>
            </w:pPr>
            <w:r w:rsidRPr="00FF229D">
              <w:rPr>
                <w:lang w:val="en-GB"/>
              </w:rPr>
              <w:t xml:space="preserve">Applicant must be the employer </w:t>
            </w:r>
          </w:p>
        </w:tc>
        <w:tc>
          <w:tcPr>
            <w:cnfStyle w:val="000001000000" w:firstRow="0" w:lastRow="0" w:firstColumn="0" w:lastColumn="0" w:oddVBand="0" w:evenVBand="1" w:oddHBand="0" w:evenHBand="0" w:firstRowFirstColumn="0" w:firstRowLastColumn="0" w:lastRowFirstColumn="0" w:lastRowLastColumn="0"/>
            <w:tcW w:w="8009" w:type="dxa"/>
          </w:tcPr>
          <w:p w14:paraId="70C9AD3E" w14:textId="02C694FD" w:rsidR="00FF229D" w:rsidRPr="00FF229D" w:rsidRDefault="00FF229D" w:rsidP="00A95FBC">
            <w:pPr>
              <w:pStyle w:val="TableCopy"/>
              <w:rPr>
                <w:lang w:val="en-GB"/>
              </w:rPr>
            </w:pPr>
            <w:r w:rsidRPr="00FF229D">
              <w:rPr>
                <w:lang w:val="en-GB"/>
              </w:rPr>
              <w:t>Applicant must be the direct employer of the employee (</w:t>
            </w:r>
            <w:proofErr w:type="gramStart"/>
            <w:r w:rsidRPr="00FF229D">
              <w:rPr>
                <w:lang w:val="en-GB"/>
              </w:rPr>
              <w:t>i.e.</w:t>
            </w:r>
            <w:proofErr w:type="gramEnd"/>
            <w:r w:rsidRPr="00FF229D">
              <w:rPr>
                <w:lang w:val="en-GB"/>
              </w:rPr>
              <w:t xml:space="preserve"> an agent cannot act on behalf of an employer).</w:t>
            </w:r>
          </w:p>
        </w:tc>
      </w:tr>
      <w:tr w:rsidR="00FF229D" w:rsidRPr="00FF229D" w14:paraId="18EC713D" w14:textId="77777777" w:rsidTr="00A95FB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5B45ABC" w14:textId="77777777" w:rsidR="00FF229D" w:rsidRPr="00FF229D" w:rsidRDefault="00FF229D" w:rsidP="00A95FBC">
            <w:pPr>
              <w:pStyle w:val="TableHeading"/>
              <w:rPr>
                <w:lang w:val="en-GB"/>
              </w:rPr>
            </w:pPr>
            <w:proofErr w:type="spellStart"/>
            <w:r w:rsidRPr="00FF229D">
              <w:rPr>
                <w:lang w:val="en-GB"/>
              </w:rPr>
              <w:t>WorkCover</w:t>
            </w:r>
            <w:proofErr w:type="spellEnd"/>
            <w:r w:rsidRPr="00FF229D">
              <w:rPr>
                <w:lang w:val="en-GB"/>
              </w:rPr>
              <w:t xml:space="preserve"> insurance </w:t>
            </w:r>
          </w:p>
        </w:tc>
        <w:tc>
          <w:tcPr>
            <w:cnfStyle w:val="000001000000" w:firstRow="0" w:lastRow="0" w:firstColumn="0" w:lastColumn="0" w:oddVBand="0" w:evenVBand="1" w:oddHBand="0" w:evenHBand="0" w:firstRowFirstColumn="0" w:firstRowLastColumn="0" w:lastRowFirstColumn="0" w:lastRowLastColumn="0"/>
            <w:tcW w:w="8009" w:type="dxa"/>
          </w:tcPr>
          <w:p w14:paraId="3309C58D" w14:textId="77777777" w:rsidR="00FF229D" w:rsidRPr="00FF229D" w:rsidRDefault="00FF229D" w:rsidP="00A95FBC">
            <w:pPr>
              <w:pStyle w:val="TableCopy"/>
              <w:rPr>
                <w:lang w:val="en-GB"/>
              </w:rPr>
            </w:pPr>
            <w:r w:rsidRPr="00FF229D">
              <w:rPr>
                <w:lang w:val="en-GB"/>
              </w:rPr>
              <w:t xml:space="preserve">Applicant must hold current </w:t>
            </w:r>
            <w:proofErr w:type="spellStart"/>
            <w:r w:rsidRPr="00FF229D">
              <w:rPr>
                <w:lang w:val="en-GB"/>
              </w:rPr>
              <w:t>WorkCover</w:t>
            </w:r>
            <w:proofErr w:type="spellEnd"/>
            <w:r w:rsidRPr="00FF229D">
              <w:rPr>
                <w:lang w:val="en-GB"/>
              </w:rPr>
              <w:t xml:space="preserve"> insurance from the time that the employee was employed.</w:t>
            </w:r>
          </w:p>
        </w:tc>
      </w:tr>
      <w:tr w:rsidR="00FF229D" w:rsidRPr="00FF229D" w14:paraId="34B04F53" w14:textId="77777777" w:rsidTr="00A95FB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1C101C9" w14:textId="77777777" w:rsidR="00FF229D" w:rsidRPr="00FF229D" w:rsidRDefault="00FF229D" w:rsidP="00A95FBC">
            <w:pPr>
              <w:pStyle w:val="TableHeading"/>
              <w:rPr>
                <w:lang w:val="en-GB"/>
              </w:rPr>
            </w:pPr>
            <w:r w:rsidRPr="00FF229D">
              <w:rPr>
                <w:lang w:val="en-GB"/>
              </w:rPr>
              <w:t>Australian business number (ABN)</w:t>
            </w:r>
          </w:p>
        </w:tc>
        <w:tc>
          <w:tcPr>
            <w:cnfStyle w:val="000001000000" w:firstRow="0" w:lastRow="0" w:firstColumn="0" w:lastColumn="0" w:oddVBand="0" w:evenVBand="1" w:oddHBand="0" w:evenHBand="0" w:firstRowFirstColumn="0" w:firstRowLastColumn="0" w:lastRowFirstColumn="0" w:lastRowLastColumn="0"/>
            <w:tcW w:w="8009" w:type="dxa"/>
          </w:tcPr>
          <w:p w14:paraId="246E4095" w14:textId="174E5C4B" w:rsidR="00FF229D" w:rsidRPr="00FF229D" w:rsidRDefault="00FF229D" w:rsidP="00A95FBC">
            <w:pPr>
              <w:pStyle w:val="TableCopy"/>
              <w:rPr>
                <w:lang w:val="en-GB"/>
              </w:rPr>
            </w:pPr>
            <w:r w:rsidRPr="00FF229D">
              <w:rPr>
                <w:lang w:val="en-GB"/>
              </w:rPr>
              <w:t>Applicant must have an ABN (and Australian Company Number if applicable).</w:t>
            </w:r>
          </w:p>
        </w:tc>
      </w:tr>
      <w:tr w:rsidR="00FF229D" w:rsidRPr="00FF229D" w14:paraId="3204FE83" w14:textId="77777777" w:rsidTr="00A95FB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ADFE9A8" w14:textId="77777777" w:rsidR="00FF229D" w:rsidRPr="00FF229D" w:rsidRDefault="00FF229D" w:rsidP="00A95FBC">
            <w:pPr>
              <w:pStyle w:val="TableHeading"/>
              <w:rPr>
                <w:lang w:val="en-GB"/>
              </w:rPr>
            </w:pPr>
            <w:r w:rsidRPr="00FF229D">
              <w:rPr>
                <w:lang w:val="en-GB"/>
              </w:rPr>
              <w:t xml:space="preserve">Payroll </w:t>
            </w:r>
          </w:p>
        </w:tc>
        <w:tc>
          <w:tcPr>
            <w:cnfStyle w:val="000001000000" w:firstRow="0" w:lastRow="0" w:firstColumn="0" w:lastColumn="0" w:oddVBand="0" w:evenVBand="1" w:oddHBand="0" w:evenHBand="0" w:firstRowFirstColumn="0" w:firstRowLastColumn="0" w:lastRowFirstColumn="0" w:lastRowLastColumn="0"/>
            <w:tcW w:w="8009" w:type="dxa"/>
          </w:tcPr>
          <w:p w14:paraId="2B13CF50" w14:textId="4D6E110B" w:rsidR="00FF229D" w:rsidRPr="00FF229D" w:rsidRDefault="00FF229D" w:rsidP="00A95FBC">
            <w:pPr>
              <w:pStyle w:val="TableCopy"/>
              <w:rPr>
                <w:lang w:val="en-GB"/>
              </w:rPr>
            </w:pPr>
            <w:r w:rsidRPr="00FF229D">
              <w:rPr>
                <w:lang w:val="en-GB"/>
              </w:rPr>
              <w:t>For private sector businesses, sole traders, social enterprises and/or Aboriginal businesses, applicants must have a payroll of less than $20 million in the financial year immediately preceding the date when the application is made.</w:t>
            </w:r>
          </w:p>
        </w:tc>
      </w:tr>
      <w:tr w:rsidR="00FF229D" w:rsidRPr="00FF229D" w14:paraId="4818464B" w14:textId="77777777" w:rsidTr="00A95FB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04A4C840" w14:textId="77777777" w:rsidR="00FF229D" w:rsidRPr="00FF229D" w:rsidRDefault="00FF229D" w:rsidP="00A95FBC">
            <w:pPr>
              <w:pStyle w:val="TableHeading"/>
              <w:rPr>
                <w:lang w:val="en-GB"/>
              </w:rPr>
            </w:pPr>
            <w:r w:rsidRPr="00FF229D">
              <w:rPr>
                <w:lang w:val="en-GB"/>
              </w:rPr>
              <w:t>Labour hire providers</w:t>
            </w:r>
          </w:p>
        </w:tc>
        <w:tc>
          <w:tcPr>
            <w:cnfStyle w:val="000001000000" w:firstRow="0" w:lastRow="0" w:firstColumn="0" w:lastColumn="0" w:oddVBand="0" w:evenVBand="1" w:oddHBand="0" w:evenHBand="0" w:firstRowFirstColumn="0" w:firstRowLastColumn="0" w:lastRowFirstColumn="0" w:lastRowLastColumn="0"/>
            <w:tcW w:w="8009" w:type="dxa"/>
          </w:tcPr>
          <w:p w14:paraId="40A2FEDD" w14:textId="77777777" w:rsidR="00FF229D" w:rsidRPr="00FF229D" w:rsidRDefault="00FF229D" w:rsidP="00A95FBC">
            <w:pPr>
              <w:pStyle w:val="TableCopy"/>
              <w:rPr>
                <w:lang w:val="en-GB"/>
              </w:rPr>
            </w:pPr>
            <w:r w:rsidRPr="00FF229D">
              <w:rPr>
                <w:lang w:val="en-GB"/>
              </w:rPr>
              <w:t>Labour hire providers must be licenced by the Labour Hire Authority.</w:t>
            </w:r>
          </w:p>
        </w:tc>
      </w:tr>
      <w:tr w:rsidR="00FF229D" w:rsidRPr="00FF229D" w14:paraId="4B0D9854" w14:textId="77777777" w:rsidTr="00A95FB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64D7533" w14:textId="77777777" w:rsidR="00FF229D" w:rsidRPr="00FF229D" w:rsidRDefault="00FF229D" w:rsidP="00A95FBC">
            <w:pPr>
              <w:pStyle w:val="TableHeading"/>
              <w:rPr>
                <w:lang w:val="en-GB"/>
              </w:rPr>
            </w:pPr>
            <w:r w:rsidRPr="00FF229D">
              <w:rPr>
                <w:lang w:val="en-GB"/>
              </w:rPr>
              <w:t xml:space="preserve">Charitable and not-for-profit organisations </w:t>
            </w:r>
          </w:p>
        </w:tc>
        <w:tc>
          <w:tcPr>
            <w:cnfStyle w:val="000001000000" w:firstRow="0" w:lastRow="0" w:firstColumn="0" w:lastColumn="0" w:oddVBand="0" w:evenVBand="1" w:oddHBand="0" w:evenHBand="0" w:firstRowFirstColumn="0" w:firstRowLastColumn="0" w:lastRowFirstColumn="0" w:lastRowLastColumn="0"/>
            <w:tcW w:w="8009" w:type="dxa"/>
          </w:tcPr>
          <w:p w14:paraId="44960A15" w14:textId="1290A50C" w:rsidR="00FF229D" w:rsidRPr="00FF229D" w:rsidRDefault="00FF229D" w:rsidP="00A95FBC">
            <w:pPr>
              <w:pStyle w:val="TableCopy"/>
              <w:rPr>
                <w:lang w:val="en-GB"/>
              </w:rPr>
            </w:pPr>
            <w:r w:rsidRPr="00FF229D">
              <w:rPr>
                <w:lang w:val="en-GB"/>
              </w:rPr>
              <w:t>Charitable and not-for-profit organisations must be registered with the Australian Charities and Not-for-profits Commission (ACNC).</w:t>
            </w:r>
          </w:p>
        </w:tc>
      </w:tr>
      <w:tr w:rsidR="00FF229D" w:rsidRPr="00FF229D" w14:paraId="1720EA36" w14:textId="77777777" w:rsidTr="00A95FB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3999A0B" w14:textId="77777777" w:rsidR="00FF229D" w:rsidRPr="00FF229D" w:rsidRDefault="00FF229D" w:rsidP="00A95FBC">
            <w:pPr>
              <w:pStyle w:val="TableHeading"/>
              <w:rPr>
                <w:lang w:val="en-GB"/>
              </w:rPr>
            </w:pPr>
            <w:r w:rsidRPr="00FF229D">
              <w:rPr>
                <w:lang w:val="en-GB"/>
              </w:rPr>
              <w:t>Aboriginal businesses</w:t>
            </w:r>
          </w:p>
        </w:tc>
        <w:tc>
          <w:tcPr>
            <w:cnfStyle w:val="000001000000" w:firstRow="0" w:lastRow="0" w:firstColumn="0" w:lastColumn="0" w:oddVBand="0" w:evenVBand="1" w:oddHBand="0" w:evenHBand="0" w:firstRowFirstColumn="0" w:firstRowLastColumn="0" w:lastRowFirstColumn="0" w:lastRowLastColumn="0"/>
            <w:tcW w:w="8009" w:type="dxa"/>
          </w:tcPr>
          <w:p w14:paraId="16B7756F" w14:textId="52186CDD" w:rsidR="00FF229D" w:rsidRPr="00FF229D" w:rsidRDefault="00FF229D" w:rsidP="00A95FBC">
            <w:pPr>
              <w:pStyle w:val="TableCopy"/>
              <w:rPr>
                <w:lang w:val="en-GB"/>
              </w:rPr>
            </w:pPr>
            <w:r w:rsidRPr="00FF229D">
              <w:rPr>
                <w:lang w:val="en-GB"/>
              </w:rPr>
              <w:t xml:space="preserve">Aboriginal businesses must be certified by </w:t>
            </w:r>
            <w:proofErr w:type="spellStart"/>
            <w:r w:rsidRPr="00FF229D">
              <w:rPr>
                <w:lang w:val="en-GB"/>
              </w:rPr>
              <w:t>Kinaway</w:t>
            </w:r>
            <w:proofErr w:type="spellEnd"/>
            <w:r w:rsidRPr="00FF229D">
              <w:rPr>
                <w:lang w:val="en-GB"/>
              </w:rPr>
              <w:t xml:space="preserve"> Chamber of Commerce.</w:t>
            </w:r>
          </w:p>
        </w:tc>
      </w:tr>
      <w:tr w:rsidR="00FF229D" w:rsidRPr="00FF229D" w14:paraId="6ECDBA1E" w14:textId="77777777" w:rsidTr="00A95FB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4C5C6A6" w14:textId="77777777" w:rsidR="00FF229D" w:rsidRPr="00FF229D" w:rsidRDefault="00FF229D" w:rsidP="00A95FBC">
            <w:pPr>
              <w:pStyle w:val="TableHeading"/>
              <w:rPr>
                <w:lang w:val="en-GB"/>
              </w:rPr>
            </w:pPr>
            <w:r w:rsidRPr="00FF229D">
              <w:rPr>
                <w:lang w:val="en-GB"/>
              </w:rPr>
              <w:t>Location</w:t>
            </w:r>
          </w:p>
        </w:tc>
        <w:tc>
          <w:tcPr>
            <w:cnfStyle w:val="000001000000" w:firstRow="0" w:lastRow="0" w:firstColumn="0" w:lastColumn="0" w:oddVBand="0" w:evenVBand="1" w:oddHBand="0" w:evenHBand="0" w:firstRowFirstColumn="0" w:firstRowLastColumn="0" w:lastRowFirstColumn="0" w:lastRowLastColumn="0"/>
            <w:tcW w:w="8009" w:type="dxa"/>
          </w:tcPr>
          <w:p w14:paraId="1262AE84" w14:textId="77777777" w:rsidR="00FF229D" w:rsidRPr="00FF229D" w:rsidRDefault="00FF229D" w:rsidP="00A95FBC">
            <w:pPr>
              <w:pStyle w:val="TableCopy"/>
              <w:rPr>
                <w:lang w:val="en-GB"/>
              </w:rPr>
            </w:pPr>
            <w:r w:rsidRPr="00FF229D">
              <w:rPr>
                <w:lang w:val="en-GB"/>
              </w:rPr>
              <w:t>Applicants must be operating in Victoria.</w:t>
            </w:r>
          </w:p>
        </w:tc>
      </w:tr>
      <w:tr w:rsidR="00FF229D" w:rsidRPr="00FF229D" w14:paraId="1713BA03" w14:textId="77777777" w:rsidTr="00A95FB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56A0BA1" w14:textId="378BA1AF" w:rsidR="00FF229D" w:rsidRPr="00FF229D" w:rsidRDefault="00FF229D" w:rsidP="00A95FBC">
            <w:pPr>
              <w:pStyle w:val="TableHeading"/>
              <w:rPr>
                <w:lang w:val="en-GB"/>
              </w:rPr>
            </w:pPr>
            <w:r w:rsidRPr="00FF229D">
              <w:rPr>
                <w:lang w:val="en-GB"/>
              </w:rPr>
              <w:t xml:space="preserve">Employer responsibilities </w:t>
            </w:r>
          </w:p>
        </w:tc>
        <w:tc>
          <w:tcPr>
            <w:cnfStyle w:val="000001000000" w:firstRow="0" w:lastRow="0" w:firstColumn="0" w:lastColumn="0" w:oddVBand="0" w:evenVBand="1" w:oddHBand="0" w:evenHBand="0" w:firstRowFirstColumn="0" w:firstRowLastColumn="0" w:lastRowFirstColumn="0" w:lastRowLastColumn="0"/>
            <w:tcW w:w="8009" w:type="dxa"/>
          </w:tcPr>
          <w:p w14:paraId="304D0DB6" w14:textId="54B3B94F" w:rsidR="00FF229D" w:rsidRPr="00FF229D" w:rsidRDefault="00FF229D" w:rsidP="00A95FBC">
            <w:pPr>
              <w:pStyle w:val="TableCopy"/>
              <w:rPr>
                <w:lang w:val="en-GB"/>
              </w:rPr>
            </w:pPr>
            <w:r w:rsidRPr="00FF229D">
              <w:rPr>
                <w:lang w:val="en-GB"/>
              </w:rPr>
              <w:t xml:space="preserve">Applicants must comply with all employer responsibilities and workplace laws (see </w:t>
            </w:r>
            <w:hyperlink w:anchor="_Employer_responsibilities" w:history="1">
              <w:r w:rsidRPr="00C878FA">
                <w:rPr>
                  <w:rStyle w:val="Hyperlink"/>
                  <w:lang w:val="en-GB"/>
                </w:rPr>
                <w:t>section 7</w:t>
              </w:r>
            </w:hyperlink>
            <w:r w:rsidRPr="00FF229D">
              <w:rPr>
                <w:lang w:val="en-GB"/>
              </w:rPr>
              <w:t>).</w:t>
            </w:r>
          </w:p>
        </w:tc>
      </w:tr>
      <w:tr w:rsidR="00FF229D" w:rsidRPr="00FF229D" w14:paraId="5BC8F164" w14:textId="77777777" w:rsidTr="00A95FB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0348" w:type="dxa"/>
            <w:gridSpan w:val="2"/>
          </w:tcPr>
          <w:p w14:paraId="6AD3D616" w14:textId="77777777" w:rsidR="00FF229D" w:rsidRPr="00FF229D" w:rsidRDefault="00FF229D" w:rsidP="00A95FBC">
            <w:pPr>
              <w:pStyle w:val="TableHeading"/>
              <w:rPr>
                <w:lang w:val="en-GB"/>
              </w:rPr>
            </w:pPr>
            <w:r w:rsidRPr="00FF229D">
              <w:rPr>
                <w:lang w:val="en-GB"/>
              </w:rPr>
              <w:t xml:space="preserve">Ineligible employers </w:t>
            </w:r>
          </w:p>
        </w:tc>
      </w:tr>
      <w:tr w:rsidR="00FF229D" w:rsidRPr="00FF229D" w14:paraId="7DBA9B42" w14:textId="77777777" w:rsidTr="00A95FB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6E17CA5" w14:textId="77777777" w:rsidR="00FF229D" w:rsidRPr="00FF229D" w:rsidRDefault="00FF229D" w:rsidP="00A95FBC">
            <w:pPr>
              <w:pStyle w:val="TableCopy"/>
              <w:rPr>
                <w:lang w:val="en-GB"/>
              </w:rPr>
            </w:pPr>
          </w:p>
        </w:tc>
        <w:tc>
          <w:tcPr>
            <w:cnfStyle w:val="000001000000" w:firstRow="0" w:lastRow="0" w:firstColumn="0" w:lastColumn="0" w:oddVBand="0" w:evenVBand="1" w:oddHBand="0" w:evenHBand="0" w:firstRowFirstColumn="0" w:firstRowLastColumn="0" w:lastRowFirstColumn="0" w:lastRowLastColumn="0"/>
            <w:tcW w:w="8009" w:type="dxa"/>
          </w:tcPr>
          <w:p w14:paraId="53778E52" w14:textId="77777777" w:rsidR="00FF229D" w:rsidRPr="00FF229D" w:rsidRDefault="00FF229D" w:rsidP="00A95FBC">
            <w:pPr>
              <w:pStyle w:val="TableCopy"/>
              <w:rPr>
                <w:lang w:val="en-GB"/>
              </w:rPr>
            </w:pPr>
            <w:r w:rsidRPr="00FF229D">
              <w:rPr>
                <w:lang w:val="en-GB"/>
              </w:rPr>
              <w:t>Ineligible employers include:</w:t>
            </w:r>
          </w:p>
          <w:p w14:paraId="2C9BCB76" w14:textId="77777777" w:rsidR="00FF229D" w:rsidRPr="00FF229D" w:rsidRDefault="00FF229D" w:rsidP="00AA7A4B">
            <w:pPr>
              <w:pStyle w:val="TableBullet"/>
              <w:numPr>
                <w:ilvl w:val="0"/>
                <w:numId w:val="4"/>
              </w:numPr>
              <w:rPr>
                <w:lang w:val="en-GB"/>
              </w:rPr>
            </w:pPr>
            <w:r w:rsidRPr="00FF229D">
              <w:rPr>
                <w:lang w:val="en-GB"/>
              </w:rPr>
              <w:t xml:space="preserve">the Victorian Public Service and Victorian public sector entities </w:t>
            </w:r>
          </w:p>
          <w:p w14:paraId="6FD94861" w14:textId="77777777" w:rsidR="00FF229D" w:rsidRPr="00FF229D" w:rsidRDefault="00FF229D" w:rsidP="00AA7A4B">
            <w:pPr>
              <w:pStyle w:val="TableBullet"/>
              <w:numPr>
                <w:ilvl w:val="0"/>
                <w:numId w:val="4"/>
              </w:numPr>
              <w:rPr>
                <w:lang w:val="en-GB"/>
              </w:rPr>
            </w:pPr>
            <w:r w:rsidRPr="00FF229D">
              <w:rPr>
                <w:lang w:val="en-GB"/>
              </w:rPr>
              <w:t>the Australian Public Service and Commonwealth public sector entities</w:t>
            </w:r>
          </w:p>
        </w:tc>
      </w:tr>
    </w:tbl>
    <w:p w14:paraId="7AE33413" w14:textId="77777777" w:rsidR="00FF229D" w:rsidRPr="00FF229D" w:rsidRDefault="00FF229D" w:rsidP="00FF229D">
      <w:pPr>
        <w:rPr>
          <w:lang w:val="en-GB"/>
        </w:rPr>
      </w:pPr>
    </w:p>
    <w:p w14:paraId="7951BBE7" w14:textId="04C191AC" w:rsidR="00FF229D" w:rsidRPr="00FF229D" w:rsidRDefault="00FF229D" w:rsidP="00AA7A4B">
      <w:pPr>
        <w:pStyle w:val="Heading2"/>
        <w:numPr>
          <w:ilvl w:val="1"/>
          <w:numId w:val="3"/>
        </w:numPr>
        <w:rPr>
          <w:lang w:val="en-GB"/>
        </w:rPr>
      </w:pPr>
      <w:bookmarkStart w:id="9" w:name="_Criterion_B_–"/>
      <w:bookmarkStart w:id="10" w:name="_Toc67585365"/>
      <w:bookmarkEnd w:id="9"/>
      <w:r w:rsidRPr="00FF229D">
        <w:rPr>
          <w:lang w:val="en-GB"/>
        </w:rPr>
        <w:lastRenderedPageBreak/>
        <w:t>Criterion B – Employee eligibility</w:t>
      </w:r>
      <w:bookmarkEnd w:id="10"/>
    </w:p>
    <w:tbl>
      <w:tblPr>
        <w:tblStyle w:val="PlainTable2"/>
        <w:tblW w:w="0" w:type="auto"/>
        <w:tblLayout w:type="fixed"/>
        <w:tblLook w:val="0000" w:firstRow="0" w:lastRow="0" w:firstColumn="0" w:lastColumn="0" w:noHBand="0" w:noVBand="0"/>
      </w:tblPr>
      <w:tblGrid>
        <w:gridCol w:w="2339"/>
        <w:gridCol w:w="8009"/>
      </w:tblGrid>
      <w:tr w:rsidR="00FF229D" w:rsidRPr="00FF229D" w14:paraId="26E37D2B" w14:textId="77777777" w:rsidTr="005D071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FA288A0" w14:textId="77777777" w:rsidR="00FF229D" w:rsidRPr="00FF229D" w:rsidRDefault="00FF229D" w:rsidP="00A95FBC">
            <w:pPr>
              <w:pStyle w:val="TableHeading"/>
              <w:rPr>
                <w:lang w:val="en-GB"/>
              </w:rPr>
            </w:pPr>
            <w:r w:rsidRPr="00FF229D">
              <w:rPr>
                <w:lang w:val="en-GB"/>
              </w:rPr>
              <w:t>Priority groups</w:t>
            </w:r>
          </w:p>
        </w:tc>
        <w:tc>
          <w:tcPr>
            <w:cnfStyle w:val="000001000000" w:firstRow="0" w:lastRow="0" w:firstColumn="0" w:lastColumn="0" w:oddVBand="0" w:evenVBand="1" w:oddHBand="0" w:evenHBand="0" w:firstRowFirstColumn="0" w:firstRowLastColumn="0" w:lastRowFirstColumn="0" w:lastRowLastColumn="0"/>
            <w:tcW w:w="8009" w:type="dxa"/>
          </w:tcPr>
          <w:p w14:paraId="296037C5" w14:textId="1E51A3CC" w:rsidR="00FF229D" w:rsidRPr="00FF229D" w:rsidRDefault="00FF229D" w:rsidP="00A95FBC">
            <w:pPr>
              <w:pStyle w:val="TableCopy"/>
              <w:rPr>
                <w:lang w:val="en-GB"/>
              </w:rPr>
            </w:pPr>
            <w:r w:rsidRPr="00FF229D">
              <w:rPr>
                <w:lang w:val="en-GB"/>
              </w:rPr>
              <w:t xml:space="preserve">All eligible employees must be from one or more of the following priority groups and </w:t>
            </w:r>
            <w:r w:rsidRPr="00FF229D">
              <w:rPr>
                <w:u w:val="thick"/>
                <w:lang w:val="en-GB"/>
              </w:rPr>
              <w:t>must be hired by the applicant BEFORE applying to the Fund</w:t>
            </w:r>
            <w:r w:rsidRPr="00FF229D">
              <w:rPr>
                <w:lang w:val="en-GB"/>
              </w:rPr>
              <w:t>:</w:t>
            </w:r>
          </w:p>
          <w:p w14:paraId="6B484BA4" w14:textId="77777777" w:rsidR="00FF229D" w:rsidRPr="00FF229D" w:rsidRDefault="00FF229D" w:rsidP="00AA7A4B">
            <w:pPr>
              <w:pStyle w:val="TableBullet"/>
              <w:numPr>
                <w:ilvl w:val="0"/>
                <w:numId w:val="5"/>
              </w:numPr>
              <w:rPr>
                <w:lang w:val="en-GB"/>
              </w:rPr>
            </w:pPr>
            <w:r w:rsidRPr="00FF229D">
              <w:rPr>
                <w:lang w:val="en-GB"/>
              </w:rPr>
              <w:t>women aged over 45 years</w:t>
            </w:r>
          </w:p>
          <w:p w14:paraId="4F8AD2EE" w14:textId="77777777" w:rsidR="00FF229D" w:rsidRPr="00FF229D" w:rsidRDefault="00FF229D" w:rsidP="00AA7A4B">
            <w:pPr>
              <w:pStyle w:val="TableBullet"/>
              <w:numPr>
                <w:ilvl w:val="0"/>
                <w:numId w:val="5"/>
              </w:numPr>
              <w:rPr>
                <w:lang w:val="en-GB"/>
              </w:rPr>
            </w:pPr>
            <w:r w:rsidRPr="00FF229D">
              <w:rPr>
                <w:lang w:val="en-GB"/>
              </w:rPr>
              <w:t>long-term unemployed people (unemployed for six months or more)</w:t>
            </w:r>
          </w:p>
          <w:p w14:paraId="1BCAD426" w14:textId="5C9AB067" w:rsidR="00FF229D" w:rsidRPr="00FF229D" w:rsidRDefault="00FF229D" w:rsidP="00AA7A4B">
            <w:pPr>
              <w:pStyle w:val="TableBullet"/>
              <w:numPr>
                <w:ilvl w:val="0"/>
                <w:numId w:val="5"/>
              </w:numPr>
              <w:rPr>
                <w:lang w:val="en-GB"/>
              </w:rPr>
            </w:pPr>
            <w:r w:rsidRPr="00FF229D">
              <w:rPr>
                <w:lang w:val="en-GB"/>
              </w:rPr>
              <w:t xml:space="preserve">jobseekers registered with a Jobs Victoria Partner (see </w:t>
            </w:r>
            <w:hyperlink w:anchor="_Appendix_A_–" w:history="1">
              <w:r w:rsidRPr="00C878FA">
                <w:rPr>
                  <w:rStyle w:val="Hyperlink"/>
                  <w:lang w:val="en-GB"/>
                </w:rPr>
                <w:t>Appendix A</w:t>
              </w:r>
            </w:hyperlink>
            <w:r w:rsidRPr="00FF229D">
              <w:rPr>
                <w:lang w:val="en-GB"/>
              </w:rPr>
              <w:t>)</w:t>
            </w:r>
          </w:p>
          <w:p w14:paraId="4F39678E" w14:textId="77777777" w:rsidR="00FF229D" w:rsidRPr="00FF229D" w:rsidRDefault="00FF229D" w:rsidP="00AA7A4B">
            <w:pPr>
              <w:pStyle w:val="TableBullet"/>
              <w:numPr>
                <w:ilvl w:val="0"/>
                <w:numId w:val="5"/>
              </w:numPr>
              <w:rPr>
                <w:lang w:val="en-GB"/>
              </w:rPr>
            </w:pPr>
            <w:r w:rsidRPr="00FF229D">
              <w:rPr>
                <w:lang w:val="en-GB"/>
              </w:rPr>
              <w:t>Aboriginal people and/or Torres Strait Islander people</w:t>
            </w:r>
          </w:p>
          <w:p w14:paraId="6846A3CD" w14:textId="77777777" w:rsidR="00FF229D" w:rsidRPr="00FF229D" w:rsidRDefault="00FF229D" w:rsidP="00AA7A4B">
            <w:pPr>
              <w:pStyle w:val="TableBullet"/>
              <w:numPr>
                <w:ilvl w:val="0"/>
                <w:numId w:val="5"/>
              </w:numPr>
              <w:rPr>
                <w:lang w:val="en-GB"/>
              </w:rPr>
            </w:pPr>
            <w:r w:rsidRPr="00FF229D">
              <w:rPr>
                <w:lang w:val="en-GB"/>
              </w:rPr>
              <w:t>people with disability</w:t>
            </w:r>
          </w:p>
          <w:p w14:paraId="7906DAEB" w14:textId="77777777" w:rsidR="00FF229D" w:rsidRPr="00FF229D" w:rsidRDefault="00FF229D" w:rsidP="00AA7A4B">
            <w:pPr>
              <w:pStyle w:val="TableBullet"/>
              <w:numPr>
                <w:ilvl w:val="0"/>
                <w:numId w:val="5"/>
              </w:numPr>
              <w:rPr>
                <w:lang w:val="en-GB"/>
              </w:rPr>
            </w:pPr>
            <w:r w:rsidRPr="00FF229D">
              <w:rPr>
                <w:lang w:val="en-GB"/>
              </w:rPr>
              <w:t>people seeking asylum/refugees</w:t>
            </w:r>
          </w:p>
          <w:p w14:paraId="17095558" w14:textId="77777777" w:rsidR="00FF229D" w:rsidRPr="00FF229D" w:rsidRDefault="00FF229D" w:rsidP="00AA7A4B">
            <w:pPr>
              <w:pStyle w:val="TableBullet"/>
              <w:numPr>
                <w:ilvl w:val="0"/>
                <w:numId w:val="5"/>
              </w:numPr>
              <w:rPr>
                <w:lang w:val="en-GB"/>
              </w:rPr>
            </w:pPr>
            <w:r w:rsidRPr="00FF229D">
              <w:rPr>
                <w:lang w:val="en-GB"/>
              </w:rPr>
              <w:t xml:space="preserve">newly arrived migrants from non-English speaking backgrounds </w:t>
            </w:r>
          </w:p>
          <w:p w14:paraId="5C1BE111" w14:textId="77777777" w:rsidR="00FF229D" w:rsidRPr="00FF229D" w:rsidRDefault="00FF229D" w:rsidP="00AA7A4B">
            <w:pPr>
              <w:pStyle w:val="TableBullet"/>
              <w:numPr>
                <w:ilvl w:val="0"/>
                <w:numId w:val="5"/>
              </w:numPr>
              <w:rPr>
                <w:lang w:val="en-GB"/>
              </w:rPr>
            </w:pPr>
            <w:r w:rsidRPr="00FF229D">
              <w:rPr>
                <w:lang w:val="en-GB"/>
              </w:rPr>
              <w:t>young people aged under 25</w:t>
            </w:r>
          </w:p>
          <w:p w14:paraId="349629AF" w14:textId="77777777" w:rsidR="00FF229D" w:rsidRPr="00FF229D" w:rsidRDefault="00FF229D" w:rsidP="00AA7A4B">
            <w:pPr>
              <w:pStyle w:val="TableBullet"/>
              <w:numPr>
                <w:ilvl w:val="0"/>
                <w:numId w:val="5"/>
              </w:numPr>
              <w:rPr>
                <w:lang w:val="en-GB"/>
              </w:rPr>
            </w:pPr>
            <w:r w:rsidRPr="00FF229D">
              <w:rPr>
                <w:lang w:val="en-GB"/>
              </w:rPr>
              <w:t>people over 45 years</w:t>
            </w:r>
          </w:p>
          <w:p w14:paraId="7FC9F69D" w14:textId="77777777" w:rsidR="00FF229D" w:rsidRPr="00FF229D" w:rsidRDefault="00FF229D" w:rsidP="00AA7A4B">
            <w:pPr>
              <w:pStyle w:val="TableBullet"/>
              <w:numPr>
                <w:ilvl w:val="0"/>
                <w:numId w:val="5"/>
              </w:numPr>
              <w:rPr>
                <w:lang w:val="en-GB"/>
              </w:rPr>
            </w:pPr>
            <w:r w:rsidRPr="00FF229D">
              <w:rPr>
                <w:lang w:val="en-GB"/>
              </w:rPr>
              <w:t>veterans</w:t>
            </w:r>
          </w:p>
          <w:p w14:paraId="0206CF4A" w14:textId="2BAA72C6" w:rsidR="00FF229D" w:rsidRPr="00FF229D" w:rsidRDefault="00FF229D" w:rsidP="00AA7A4B">
            <w:pPr>
              <w:pStyle w:val="TableBullet"/>
              <w:numPr>
                <w:ilvl w:val="0"/>
                <w:numId w:val="5"/>
              </w:numPr>
              <w:rPr>
                <w:lang w:val="en-GB"/>
              </w:rPr>
            </w:pPr>
            <w:r w:rsidRPr="00FF229D">
              <w:rPr>
                <w:lang w:val="en-GB"/>
              </w:rPr>
              <w:t xml:space="preserve">people previously employed under the Working for Victoria initiative (see </w:t>
            </w:r>
            <w:hyperlink w:anchor="_Applicant_conditions" w:history="1">
              <w:r w:rsidRPr="00C878FA">
                <w:rPr>
                  <w:rStyle w:val="Hyperlink"/>
                  <w:lang w:val="en-GB"/>
                </w:rPr>
                <w:t>3.4 Applicant conditions</w:t>
              </w:r>
            </w:hyperlink>
            <w:r w:rsidRPr="00FF229D">
              <w:rPr>
                <w:lang w:val="en-GB"/>
              </w:rPr>
              <w:t xml:space="preserve">). </w:t>
            </w:r>
          </w:p>
          <w:p w14:paraId="5A4AECE0" w14:textId="5F081DF1" w:rsidR="00FF229D" w:rsidRPr="00FF229D" w:rsidRDefault="00FF229D" w:rsidP="00A95FBC">
            <w:pPr>
              <w:pStyle w:val="TableCopy"/>
              <w:rPr>
                <w:lang w:val="en-GB"/>
              </w:rPr>
            </w:pPr>
            <w:r w:rsidRPr="00FF229D">
              <w:rPr>
                <w:lang w:val="en-GB"/>
              </w:rPr>
              <w:t>Employers seeking a wage subsidy for more than three employees must provide at least 60 per cent of the roles to women.</w:t>
            </w:r>
          </w:p>
          <w:p w14:paraId="076E208D" w14:textId="55718FD3" w:rsidR="00FF229D" w:rsidRPr="00FF229D" w:rsidRDefault="00FF229D" w:rsidP="00A95FBC">
            <w:pPr>
              <w:pStyle w:val="TableCopy"/>
              <w:rPr>
                <w:lang w:val="en-GB"/>
              </w:rPr>
            </w:pPr>
            <w:r w:rsidRPr="00FF229D">
              <w:rPr>
                <w:lang w:val="en-GB"/>
              </w:rPr>
              <w:t>Government supports are available to assist with recruitment (see Appendix A).</w:t>
            </w:r>
          </w:p>
        </w:tc>
      </w:tr>
      <w:tr w:rsidR="00FF229D" w:rsidRPr="00FF229D" w14:paraId="09351211" w14:textId="77777777" w:rsidTr="005D071C">
        <w:trPr>
          <w:cantSplit/>
          <w:trHeight w:val="113"/>
        </w:trPr>
        <w:tc>
          <w:tcPr>
            <w:cnfStyle w:val="000010000000" w:firstRow="0" w:lastRow="0" w:firstColumn="0" w:lastColumn="0" w:oddVBand="1" w:evenVBand="0" w:oddHBand="0" w:evenHBand="0" w:firstRowFirstColumn="0" w:firstRowLastColumn="0" w:lastRowFirstColumn="0" w:lastRowLastColumn="0"/>
            <w:tcW w:w="10348" w:type="dxa"/>
            <w:gridSpan w:val="2"/>
          </w:tcPr>
          <w:p w14:paraId="00459A17" w14:textId="77777777" w:rsidR="00FF229D" w:rsidRPr="00FF229D" w:rsidRDefault="00FF229D" w:rsidP="00A95FBC">
            <w:pPr>
              <w:pStyle w:val="TableHeading"/>
              <w:rPr>
                <w:lang w:val="en-GB"/>
              </w:rPr>
            </w:pPr>
            <w:r w:rsidRPr="00FF229D">
              <w:rPr>
                <w:lang w:val="en-GB"/>
              </w:rPr>
              <w:t>Employment requirements</w:t>
            </w:r>
          </w:p>
        </w:tc>
      </w:tr>
      <w:tr w:rsidR="00FF229D" w:rsidRPr="00FF229D" w14:paraId="745B6E00" w14:textId="77777777" w:rsidTr="005D071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402C202" w14:textId="00A7735D" w:rsidR="00FF229D" w:rsidRPr="00FF229D" w:rsidRDefault="00FF229D" w:rsidP="00A95FBC">
            <w:pPr>
              <w:pStyle w:val="TableHeading"/>
              <w:rPr>
                <w:lang w:val="en-GB"/>
              </w:rPr>
            </w:pPr>
            <w:r w:rsidRPr="00FF229D">
              <w:rPr>
                <w:lang w:val="en-GB"/>
              </w:rPr>
              <w:t xml:space="preserve">Employment status of employee </w:t>
            </w:r>
          </w:p>
        </w:tc>
        <w:tc>
          <w:tcPr>
            <w:cnfStyle w:val="000001000000" w:firstRow="0" w:lastRow="0" w:firstColumn="0" w:lastColumn="0" w:oddVBand="0" w:evenVBand="1" w:oddHBand="0" w:evenHBand="0" w:firstRowFirstColumn="0" w:firstRowLastColumn="0" w:lastRowFirstColumn="0" w:lastRowLastColumn="0"/>
            <w:tcW w:w="8009" w:type="dxa"/>
          </w:tcPr>
          <w:p w14:paraId="08D9B8E9" w14:textId="330164DE" w:rsidR="00FF229D" w:rsidRPr="00FF229D" w:rsidRDefault="00FF229D" w:rsidP="00A95FBC">
            <w:pPr>
              <w:pStyle w:val="TableCopy"/>
              <w:rPr>
                <w:lang w:val="en-GB"/>
              </w:rPr>
            </w:pPr>
            <w:r w:rsidRPr="00FF229D">
              <w:rPr>
                <w:lang w:val="en-GB"/>
              </w:rPr>
              <w:t>To be eligible, employees must have been unemployed or underemployed* at the time they commenced work with the applicant, unless they were employed:</w:t>
            </w:r>
          </w:p>
          <w:p w14:paraId="2397864F" w14:textId="1C3D2103" w:rsidR="00FF229D" w:rsidRPr="00FF229D" w:rsidRDefault="00FF229D" w:rsidP="00AA7A4B">
            <w:pPr>
              <w:pStyle w:val="TableBullet"/>
              <w:numPr>
                <w:ilvl w:val="0"/>
                <w:numId w:val="6"/>
              </w:numPr>
              <w:rPr>
                <w:lang w:val="en-GB"/>
              </w:rPr>
            </w:pPr>
            <w:r w:rsidRPr="00FF229D">
              <w:rPr>
                <w:lang w:val="en-GB"/>
              </w:rPr>
              <w:t xml:space="preserve">previously under the Working for Victoria initiative (see </w:t>
            </w:r>
            <w:hyperlink w:anchor="_Applicant_conditions" w:history="1">
              <w:r w:rsidRPr="00883456">
                <w:rPr>
                  <w:rStyle w:val="Hyperlink"/>
                  <w:lang w:val="en-GB"/>
                </w:rPr>
                <w:t>3.4 Applicant conditions</w:t>
              </w:r>
            </w:hyperlink>
            <w:r w:rsidRPr="00FF229D">
              <w:rPr>
                <w:lang w:val="en-GB"/>
              </w:rPr>
              <w:t>). or</w:t>
            </w:r>
          </w:p>
          <w:p w14:paraId="07083901" w14:textId="4A1A5FFB" w:rsidR="00FF229D" w:rsidRPr="00FF229D" w:rsidRDefault="00FF229D" w:rsidP="00AA7A4B">
            <w:pPr>
              <w:pStyle w:val="TableBullet"/>
              <w:numPr>
                <w:ilvl w:val="0"/>
                <w:numId w:val="6"/>
              </w:numPr>
              <w:rPr>
                <w:lang w:val="en-GB"/>
              </w:rPr>
            </w:pPr>
            <w:r w:rsidRPr="00FF229D">
              <w:rPr>
                <w:lang w:val="en-GB"/>
              </w:rPr>
              <w:t>by the applicant for no more than 16 hours per fortnight under casual employment arrangements and have transitioned to a permanent or fixed-term job of at least 19 hours per week with the applicant.</w:t>
            </w:r>
          </w:p>
          <w:p w14:paraId="617F8698" w14:textId="70E10F4D" w:rsidR="00FF229D" w:rsidRPr="00FF229D" w:rsidRDefault="00FF229D" w:rsidP="00A95FBC">
            <w:pPr>
              <w:pStyle w:val="TableCopy"/>
              <w:rPr>
                <w:lang w:val="en-GB"/>
              </w:rPr>
            </w:pPr>
            <w:r w:rsidRPr="00FF229D">
              <w:rPr>
                <w:lang w:val="en-GB"/>
              </w:rPr>
              <w:t xml:space="preserve">*For the purposes of these guidelines, underemployed is defined as working no more than 16 hours per fortnight in total under casual employment arrangements. </w:t>
            </w:r>
          </w:p>
        </w:tc>
      </w:tr>
      <w:tr w:rsidR="00FF229D" w:rsidRPr="00FF229D" w14:paraId="5A2C1812" w14:textId="77777777" w:rsidTr="005D071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7297EEB5" w14:textId="0DC030B6" w:rsidR="00FF229D" w:rsidRPr="00FF229D" w:rsidRDefault="00FF229D" w:rsidP="00A95FBC">
            <w:pPr>
              <w:pStyle w:val="TableHeading"/>
              <w:rPr>
                <w:lang w:val="en-GB"/>
              </w:rPr>
            </w:pPr>
            <w:r w:rsidRPr="00FF229D">
              <w:rPr>
                <w:lang w:val="en-GB"/>
              </w:rPr>
              <w:t>The amount of time the employee has been employed by the applicant</w:t>
            </w:r>
          </w:p>
        </w:tc>
        <w:tc>
          <w:tcPr>
            <w:cnfStyle w:val="000001000000" w:firstRow="0" w:lastRow="0" w:firstColumn="0" w:lastColumn="0" w:oddVBand="0" w:evenVBand="1" w:oddHBand="0" w:evenHBand="0" w:firstRowFirstColumn="0" w:firstRowLastColumn="0" w:lastRowFirstColumn="0" w:lastRowLastColumn="0"/>
            <w:tcW w:w="8009" w:type="dxa"/>
          </w:tcPr>
          <w:p w14:paraId="49AD8792" w14:textId="21196F11" w:rsidR="00FF229D" w:rsidRPr="00FF229D" w:rsidRDefault="00FF229D" w:rsidP="00A95FBC">
            <w:pPr>
              <w:pStyle w:val="TableCopy"/>
              <w:rPr>
                <w:lang w:val="en-GB"/>
              </w:rPr>
            </w:pPr>
            <w:r w:rsidRPr="00FF229D">
              <w:rPr>
                <w:lang w:val="en-GB"/>
              </w:rPr>
              <w:t>New employees must have commenced work with the applicant on or after 16 March 2021.</w:t>
            </w:r>
          </w:p>
          <w:p w14:paraId="2136C295" w14:textId="77777777" w:rsidR="00FF229D" w:rsidRPr="00FF229D" w:rsidRDefault="00FF229D" w:rsidP="00A95FBC">
            <w:pPr>
              <w:pStyle w:val="TableCopy"/>
              <w:rPr>
                <w:lang w:val="en-GB"/>
              </w:rPr>
            </w:pPr>
            <w:r w:rsidRPr="00FF229D">
              <w:rPr>
                <w:lang w:val="en-GB"/>
              </w:rPr>
              <w:t xml:space="preserve">At the time the application is made, employees must have been employed by the applicant for no more than 12 weeks, unless they were employed: </w:t>
            </w:r>
          </w:p>
          <w:p w14:paraId="4CD3A01A" w14:textId="6CBA6573" w:rsidR="00FF229D" w:rsidRPr="00FF229D" w:rsidRDefault="00FF229D" w:rsidP="00AA7A4B">
            <w:pPr>
              <w:pStyle w:val="TableBullet"/>
              <w:numPr>
                <w:ilvl w:val="0"/>
                <w:numId w:val="7"/>
              </w:numPr>
              <w:rPr>
                <w:lang w:val="en-GB"/>
              </w:rPr>
            </w:pPr>
            <w:r w:rsidRPr="00FF229D">
              <w:rPr>
                <w:lang w:val="en-GB"/>
              </w:rPr>
              <w:t xml:space="preserve">previously under the Working for Victoria initiative (see </w:t>
            </w:r>
            <w:hyperlink w:anchor="_Applicant_conditions" w:history="1">
              <w:r w:rsidRPr="00883456">
                <w:rPr>
                  <w:rStyle w:val="Hyperlink"/>
                  <w:lang w:val="en-GB"/>
                </w:rPr>
                <w:t>3.4 Applicant conditions</w:t>
              </w:r>
            </w:hyperlink>
            <w:r w:rsidRPr="00FF229D">
              <w:rPr>
                <w:lang w:val="en-GB"/>
              </w:rPr>
              <w:t>), or</w:t>
            </w:r>
          </w:p>
          <w:p w14:paraId="6DB1D458" w14:textId="77777777" w:rsidR="00FF229D" w:rsidRPr="00FF229D" w:rsidRDefault="00FF229D" w:rsidP="00AA7A4B">
            <w:pPr>
              <w:pStyle w:val="TableBullet"/>
              <w:numPr>
                <w:ilvl w:val="0"/>
                <w:numId w:val="7"/>
              </w:numPr>
              <w:rPr>
                <w:lang w:val="en-GB"/>
              </w:rPr>
            </w:pPr>
            <w:r w:rsidRPr="00FF229D">
              <w:rPr>
                <w:lang w:val="en-GB"/>
              </w:rPr>
              <w:t>under casual arrangements for no more than 16 hours per fortnight.</w:t>
            </w:r>
          </w:p>
        </w:tc>
      </w:tr>
      <w:tr w:rsidR="00FF229D" w:rsidRPr="00FF229D" w14:paraId="62B48FD2" w14:textId="77777777" w:rsidTr="005D071C">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8A45E27" w14:textId="77777777" w:rsidR="00FF229D" w:rsidRPr="00FF229D" w:rsidRDefault="00FF229D" w:rsidP="00A95FBC">
            <w:pPr>
              <w:pStyle w:val="TableHeading"/>
              <w:rPr>
                <w:lang w:val="en-GB"/>
              </w:rPr>
            </w:pPr>
            <w:r w:rsidRPr="00FF229D">
              <w:rPr>
                <w:lang w:val="en-GB"/>
              </w:rPr>
              <w:t>Residency status</w:t>
            </w:r>
          </w:p>
        </w:tc>
        <w:tc>
          <w:tcPr>
            <w:cnfStyle w:val="000001000000" w:firstRow="0" w:lastRow="0" w:firstColumn="0" w:lastColumn="0" w:oddVBand="0" w:evenVBand="1" w:oddHBand="0" w:evenHBand="0" w:firstRowFirstColumn="0" w:firstRowLastColumn="0" w:lastRowFirstColumn="0" w:lastRowLastColumn="0"/>
            <w:tcW w:w="8009" w:type="dxa"/>
          </w:tcPr>
          <w:p w14:paraId="04BCE26D" w14:textId="77777777" w:rsidR="00FF229D" w:rsidRPr="00FF229D" w:rsidRDefault="00FF229D" w:rsidP="00A95FBC">
            <w:pPr>
              <w:pStyle w:val="TableCopy"/>
              <w:rPr>
                <w:lang w:val="en-GB"/>
              </w:rPr>
            </w:pPr>
            <w:r w:rsidRPr="00FF229D">
              <w:rPr>
                <w:lang w:val="en-GB"/>
              </w:rPr>
              <w:t>Employees must be:</w:t>
            </w:r>
          </w:p>
          <w:p w14:paraId="5D47246C" w14:textId="77777777" w:rsidR="00FF229D" w:rsidRPr="00FF229D" w:rsidRDefault="00FF229D" w:rsidP="00AA7A4B">
            <w:pPr>
              <w:pStyle w:val="TableBullet"/>
              <w:numPr>
                <w:ilvl w:val="0"/>
                <w:numId w:val="8"/>
              </w:numPr>
              <w:rPr>
                <w:lang w:val="en-GB"/>
              </w:rPr>
            </w:pPr>
            <w:r w:rsidRPr="00FF229D">
              <w:rPr>
                <w:lang w:val="en-GB"/>
              </w:rPr>
              <w:t>a resident of Victoria</w:t>
            </w:r>
          </w:p>
          <w:p w14:paraId="0D4D1F40" w14:textId="77777777" w:rsidR="00FF229D" w:rsidRPr="00FF229D" w:rsidRDefault="00FF229D" w:rsidP="00AA7A4B">
            <w:pPr>
              <w:pStyle w:val="TableBullet"/>
              <w:numPr>
                <w:ilvl w:val="0"/>
                <w:numId w:val="8"/>
              </w:numPr>
              <w:rPr>
                <w:lang w:val="en-GB"/>
              </w:rPr>
            </w:pPr>
            <w:r w:rsidRPr="00FF229D">
              <w:rPr>
                <w:lang w:val="en-GB"/>
              </w:rPr>
              <w:t>entitled to work for the Applicant as: Australian citizens; holders of Australian permanent residence visas with work entitlements; holders of Australian temporary work visas; holders of student visas who are enrolled in an eligible course of study in Australia; or holders of Australian refugee and humanitarian visas with work entitlements.</w:t>
            </w:r>
          </w:p>
        </w:tc>
      </w:tr>
      <w:tr w:rsidR="00FF229D" w:rsidRPr="00FF229D" w14:paraId="371415E9" w14:textId="77777777" w:rsidTr="005D071C">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3FE669F" w14:textId="77777777" w:rsidR="00FF229D" w:rsidRPr="00FF229D" w:rsidRDefault="00FF229D" w:rsidP="00A95FBC">
            <w:pPr>
              <w:pStyle w:val="TableHeading"/>
              <w:rPr>
                <w:lang w:val="en-GB"/>
              </w:rPr>
            </w:pPr>
            <w:r w:rsidRPr="00FF229D">
              <w:rPr>
                <w:lang w:val="en-GB"/>
              </w:rPr>
              <w:t xml:space="preserve">Employee Consent Form </w:t>
            </w:r>
          </w:p>
        </w:tc>
        <w:tc>
          <w:tcPr>
            <w:cnfStyle w:val="000001000000" w:firstRow="0" w:lastRow="0" w:firstColumn="0" w:lastColumn="0" w:oddVBand="0" w:evenVBand="1" w:oddHBand="0" w:evenHBand="0" w:firstRowFirstColumn="0" w:firstRowLastColumn="0" w:lastRowFirstColumn="0" w:lastRowLastColumn="0"/>
            <w:tcW w:w="8009" w:type="dxa"/>
          </w:tcPr>
          <w:p w14:paraId="11B3BADB" w14:textId="58D5C8EA" w:rsidR="00FF229D" w:rsidRPr="00FF229D" w:rsidRDefault="00FF229D" w:rsidP="00A95FBC">
            <w:pPr>
              <w:pStyle w:val="TableCopy"/>
              <w:rPr>
                <w:lang w:val="en-GB"/>
              </w:rPr>
            </w:pPr>
            <w:r w:rsidRPr="00FF229D">
              <w:rPr>
                <w:lang w:val="en-GB"/>
              </w:rPr>
              <w:t xml:space="preserve">An </w:t>
            </w:r>
            <w:hyperlink r:id="rId14" w:history="1">
              <w:r w:rsidRPr="003D05B6">
                <w:rPr>
                  <w:rStyle w:val="Hyperlink"/>
                  <w:b/>
                  <w:bCs/>
                  <w:lang w:val="en-GB"/>
                </w:rPr>
                <w:t>Employee Consent Form</w:t>
              </w:r>
            </w:hyperlink>
            <w:r w:rsidRPr="00FF229D">
              <w:rPr>
                <w:lang w:val="en-GB"/>
              </w:rPr>
              <w:t xml:space="preserve"> must be completed and signed by each eligible employee and included as part of the application.</w:t>
            </w:r>
          </w:p>
        </w:tc>
      </w:tr>
    </w:tbl>
    <w:p w14:paraId="50331394" w14:textId="0696A7A6" w:rsidR="00FF229D" w:rsidRPr="00FF229D" w:rsidRDefault="00FF229D" w:rsidP="00AA7A4B">
      <w:pPr>
        <w:pStyle w:val="Heading2"/>
        <w:numPr>
          <w:ilvl w:val="1"/>
          <w:numId w:val="3"/>
        </w:numPr>
        <w:rPr>
          <w:lang w:val="en-GB"/>
        </w:rPr>
      </w:pPr>
      <w:bookmarkStart w:id="11" w:name="_Criterion_C_–"/>
      <w:bookmarkStart w:id="12" w:name="_Toc67585366"/>
      <w:bookmarkEnd w:id="11"/>
      <w:r w:rsidRPr="00FF229D">
        <w:rPr>
          <w:lang w:val="en-GB"/>
        </w:rPr>
        <w:lastRenderedPageBreak/>
        <w:t>Criterion C – Job eligibility</w:t>
      </w:r>
      <w:bookmarkEnd w:id="12"/>
    </w:p>
    <w:tbl>
      <w:tblPr>
        <w:tblStyle w:val="PlainTable2"/>
        <w:tblW w:w="0" w:type="auto"/>
        <w:tblLayout w:type="fixed"/>
        <w:tblLook w:val="0000" w:firstRow="0" w:lastRow="0" w:firstColumn="0" w:lastColumn="0" w:noHBand="0" w:noVBand="0"/>
      </w:tblPr>
      <w:tblGrid>
        <w:gridCol w:w="2339"/>
        <w:gridCol w:w="8009"/>
      </w:tblGrid>
      <w:tr w:rsidR="00FF229D" w:rsidRPr="00FF229D" w14:paraId="07331D84" w14:textId="77777777" w:rsidTr="00525BA7">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0348" w:type="dxa"/>
            <w:gridSpan w:val="2"/>
          </w:tcPr>
          <w:p w14:paraId="528303BC" w14:textId="77777777" w:rsidR="00FF229D" w:rsidRPr="00FF229D" w:rsidRDefault="00FF229D" w:rsidP="00620020">
            <w:pPr>
              <w:pStyle w:val="TableHeading"/>
              <w:rPr>
                <w:lang w:val="en-GB"/>
              </w:rPr>
            </w:pPr>
            <w:r w:rsidRPr="00FF229D">
              <w:rPr>
                <w:lang w:val="en-GB"/>
              </w:rPr>
              <w:t>Employment conditions</w:t>
            </w:r>
          </w:p>
        </w:tc>
      </w:tr>
      <w:tr w:rsidR="00FF229D" w:rsidRPr="00FF229D" w14:paraId="2146B64D" w14:textId="77777777" w:rsidTr="00525BA7">
        <w:trPr>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EFFF8BD" w14:textId="77777777" w:rsidR="00FF229D" w:rsidRPr="00FF229D" w:rsidRDefault="00FF229D" w:rsidP="00620020">
            <w:pPr>
              <w:pStyle w:val="TableHeading"/>
              <w:rPr>
                <w:lang w:val="en-GB"/>
              </w:rPr>
            </w:pPr>
            <w:r w:rsidRPr="00FF229D">
              <w:rPr>
                <w:lang w:val="en-GB"/>
              </w:rPr>
              <w:t xml:space="preserve">Length of jobs </w:t>
            </w:r>
          </w:p>
        </w:tc>
        <w:tc>
          <w:tcPr>
            <w:cnfStyle w:val="000001000000" w:firstRow="0" w:lastRow="0" w:firstColumn="0" w:lastColumn="0" w:oddVBand="0" w:evenVBand="1" w:oddHBand="0" w:evenHBand="0" w:firstRowFirstColumn="0" w:firstRowLastColumn="0" w:lastRowFirstColumn="0" w:lastRowLastColumn="0"/>
            <w:tcW w:w="8009" w:type="dxa"/>
          </w:tcPr>
          <w:p w14:paraId="4CF655CF" w14:textId="77777777" w:rsidR="00FF229D" w:rsidRPr="00FF229D" w:rsidRDefault="00FF229D" w:rsidP="00620020">
            <w:pPr>
              <w:pStyle w:val="TableCopy"/>
              <w:rPr>
                <w:lang w:val="en-GB"/>
              </w:rPr>
            </w:pPr>
            <w:r w:rsidRPr="00FF229D">
              <w:rPr>
                <w:lang w:val="en-GB"/>
              </w:rPr>
              <w:t>Jobs must be for at least 12 months in duration.</w:t>
            </w:r>
          </w:p>
        </w:tc>
      </w:tr>
      <w:tr w:rsidR="00FF229D" w:rsidRPr="00FF229D" w14:paraId="5AEDBEE4" w14:textId="77777777" w:rsidTr="00525BA7">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2339" w:type="dxa"/>
          </w:tcPr>
          <w:p w14:paraId="30CC621E" w14:textId="77777777" w:rsidR="00FF229D" w:rsidRPr="00FF229D" w:rsidRDefault="00FF229D" w:rsidP="00620020">
            <w:pPr>
              <w:pStyle w:val="TableHeading"/>
              <w:rPr>
                <w:lang w:val="en-GB"/>
              </w:rPr>
            </w:pPr>
            <w:r w:rsidRPr="00FF229D">
              <w:rPr>
                <w:lang w:val="en-GB"/>
              </w:rPr>
              <w:t>Number of jobs</w:t>
            </w:r>
          </w:p>
        </w:tc>
        <w:tc>
          <w:tcPr>
            <w:cnfStyle w:val="000001000000" w:firstRow="0" w:lastRow="0" w:firstColumn="0" w:lastColumn="0" w:oddVBand="0" w:evenVBand="1" w:oddHBand="0" w:evenHBand="0" w:firstRowFirstColumn="0" w:firstRowLastColumn="0" w:lastRowFirstColumn="0" w:lastRowLastColumn="0"/>
            <w:tcW w:w="8009" w:type="dxa"/>
          </w:tcPr>
          <w:p w14:paraId="2BDCF0F1" w14:textId="681E2E57" w:rsidR="00FF229D" w:rsidRPr="00FF229D" w:rsidRDefault="00FF229D" w:rsidP="00620020">
            <w:pPr>
              <w:pStyle w:val="TableCopy"/>
              <w:rPr>
                <w:lang w:val="en-GB"/>
              </w:rPr>
            </w:pPr>
            <w:r w:rsidRPr="00FF229D">
              <w:rPr>
                <w:lang w:val="en-GB"/>
              </w:rPr>
              <w:t xml:space="preserve">Applicants can apply for wage subsidies to increase current staff numbers by up to 20 per cent. For example, if the applicant employs 60 full time equivalent (FTE) employees (excluding the eligible employees), they may apply for a wage subsidy for up to 12 additional FTE. </w:t>
            </w:r>
          </w:p>
          <w:p w14:paraId="5614116F" w14:textId="77777777" w:rsidR="00FF229D" w:rsidRPr="00FF229D" w:rsidRDefault="00FF229D" w:rsidP="00620020">
            <w:pPr>
              <w:pStyle w:val="TableCopy"/>
              <w:rPr>
                <w:lang w:val="en-GB"/>
              </w:rPr>
            </w:pPr>
            <w:r w:rsidRPr="00FF229D">
              <w:rPr>
                <w:lang w:val="en-GB"/>
              </w:rPr>
              <w:t>Wage subsidies can be provided to a maximum of 20 FTE employees per applicant over the life of the Fund.</w:t>
            </w:r>
          </w:p>
        </w:tc>
      </w:tr>
      <w:tr w:rsidR="00FF229D" w:rsidRPr="00FF229D" w14:paraId="6B0B344C" w14:textId="77777777" w:rsidTr="00525BA7">
        <w:trPr>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DC11C6C" w14:textId="77777777" w:rsidR="00FF229D" w:rsidRPr="00FF229D" w:rsidRDefault="00FF229D" w:rsidP="00620020">
            <w:pPr>
              <w:pStyle w:val="TableHeading"/>
              <w:rPr>
                <w:lang w:val="en-GB"/>
              </w:rPr>
            </w:pPr>
            <w:r w:rsidRPr="00FF229D">
              <w:rPr>
                <w:lang w:val="en-GB"/>
              </w:rPr>
              <w:t xml:space="preserve">Type of employment </w:t>
            </w:r>
          </w:p>
        </w:tc>
        <w:tc>
          <w:tcPr>
            <w:cnfStyle w:val="000001000000" w:firstRow="0" w:lastRow="0" w:firstColumn="0" w:lastColumn="0" w:oddVBand="0" w:evenVBand="1" w:oddHBand="0" w:evenHBand="0" w:firstRowFirstColumn="0" w:firstRowLastColumn="0" w:lastRowFirstColumn="0" w:lastRowLastColumn="0"/>
            <w:tcW w:w="8009" w:type="dxa"/>
          </w:tcPr>
          <w:p w14:paraId="246C5525" w14:textId="77777777" w:rsidR="00FF229D" w:rsidRPr="00FF229D" w:rsidRDefault="00FF229D" w:rsidP="00620020">
            <w:pPr>
              <w:pStyle w:val="TableCopy"/>
              <w:rPr>
                <w:lang w:val="en-GB"/>
              </w:rPr>
            </w:pPr>
            <w:r w:rsidRPr="00FF229D">
              <w:rPr>
                <w:lang w:val="en-GB"/>
              </w:rPr>
              <w:t>All jobs must be permanent or fixed term positions (</w:t>
            </w:r>
            <w:proofErr w:type="gramStart"/>
            <w:r w:rsidRPr="00FF229D">
              <w:rPr>
                <w:lang w:val="en-GB"/>
              </w:rPr>
              <w:t>i.e.</w:t>
            </w:r>
            <w:proofErr w:type="gramEnd"/>
            <w:r w:rsidRPr="00FF229D">
              <w:rPr>
                <w:lang w:val="en-GB"/>
              </w:rPr>
              <w:t xml:space="preserve"> full- or part-time) for a minimum of 19 hours per week. Casual jobs will not be supported.</w:t>
            </w:r>
          </w:p>
        </w:tc>
      </w:tr>
      <w:tr w:rsidR="00FF229D" w:rsidRPr="00FF229D" w14:paraId="72206A15" w14:textId="77777777" w:rsidTr="00525BA7">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7E228DE" w14:textId="266C2A3E" w:rsidR="00FF229D" w:rsidRPr="00FF229D" w:rsidRDefault="00FF229D" w:rsidP="00620020">
            <w:pPr>
              <w:pStyle w:val="TableHeading"/>
              <w:rPr>
                <w:lang w:val="en-GB"/>
              </w:rPr>
            </w:pPr>
            <w:r w:rsidRPr="00FF229D">
              <w:rPr>
                <w:lang w:val="en-GB"/>
              </w:rPr>
              <w:t>Wages and entitlements</w:t>
            </w:r>
          </w:p>
        </w:tc>
        <w:tc>
          <w:tcPr>
            <w:cnfStyle w:val="000001000000" w:firstRow="0" w:lastRow="0" w:firstColumn="0" w:lastColumn="0" w:oddVBand="0" w:evenVBand="1" w:oddHBand="0" w:evenHBand="0" w:firstRowFirstColumn="0" w:firstRowLastColumn="0" w:lastRowFirstColumn="0" w:lastRowLastColumn="0"/>
            <w:tcW w:w="8009" w:type="dxa"/>
          </w:tcPr>
          <w:p w14:paraId="2A469DCC" w14:textId="77777777" w:rsidR="00FF229D" w:rsidRPr="00FF229D" w:rsidRDefault="00FF229D" w:rsidP="00620020">
            <w:pPr>
              <w:pStyle w:val="TableCopy"/>
              <w:rPr>
                <w:lang w:val="en-GB"/>
              </w:rPr>
            </w:pPr>
            <w:r w:rsidRPr="00FF229D">
              <w:rPr>
                <w:lang w:val="en-GB"/>
              </w:rPr>
              <w:t>Employers must provide at least legal minimum wages and entitlements as specified in the applicable award, enterprise agreement or National Employment Standards.</w:t>
            </w:r>
          </w:p>
        </w:tc>
      </w:tr>
      <w:tr w:rsidR="00FF229D" w:rsidRPr="00FF229D" w14:paraId="563FCED1" w14:textId="77777777" w:rsidTr="00525BA7">
        <w:trPr>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09292B3" w14:textId="1E9D464C" w:rsidR="00FF229D" w:rsidRPr="00FF229D" w:rsidRDefault="00FF229D" w:rsidP="00620020">
            <w:pPr>
              <w:pStyle w:val="TableHeading"/>
              <w:rPr>
                <w:lang w:val="en-GB"/>
              </w:rPr>
            </w:pPr>
            <w:r w:rsidRPr="00FF229D">
              <w:rPr>
                <w:lang w:val="en-GB"/>
              </w:rPr>
              <w:t xml:space="preserve">Displacement of existing employees </w:t>
            </w:r>
          </w:p>
        </w:tc>
        <w:tc>
          <w:tcPr>
            <w:cnfStyle w:val="000001000000" w:firstRow="0" w:lastRow="0" w:firstColumn="0" w:lastColumn="0" w:oddVBand="0" w:evenVBand="1" w:oddHBand="0" w:evenHBand="0" w:firstRowFirstColumn="0" w:firstRowLastColumn="0" w:lastRowFirstColumn="0" w:lastRowLastColumn="0"/>
            <w:tcW w:w="8009" w:type="dxa"/>
          </w:tcPr>
          <w:p w14:paraId="7212CC98" w14:textId="68E4A3C8" w:rsidR="00FF229D" w:rsidRPr="00FF229D" w:rsidRDefault="00FF229D" w:rsidP="00620020">
            <w:pPr>
              <w:pStyle w:val="TableCopy"/>
              <w:rPr>
                <w:lang w:val="en-GB"/>
              </w:rPr>
            </w:pPr>
            <w:r w:rsidRPr="00FF229D">
              <w:rPr>
                <w:lang w:val="en-GB"/>
              </w:rPr>
              <w:t>Jobs must not displace existing employees (</w:t>
            </w:r>
            <w:proofErr w:type="gramStart"/>
            <w:r w:rsidRPr="00FF229D">
              <w:rPr>
                <w:lang w:val="en-GB"/>
              </w:rPr>
              <w:t>i.e.</w:t>
            </w:r>
            <w:proofErr w:type="gramEnd"/>
            <w:r w:rsidRPr="00FF229D">
              <w:rPr>
                <w:lang w:val="en-GB"/>
              </w:rPr>
              <w:t xml:space="preserve"> do not result in any existing employees being stood down or experiencing a reduction in work hours).</w:t>
            </w:r>
          </w:p>
        </w:tc>
      </w:tr>
      <w:tr w:rsidR="00FF229D" w:rsidRPr="00FF229D" w14:paraId="0CD518BE" w14:textId="77777777" w:rsidTr="00525BA7">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10348" w:type="dxa"/>
            <w:gridSpan w:val="2"/>
          </w:tcPr>
          <w:p w14:paraId="68EDFB78" w14:textId="77777777" w:rsidR="00FF229D" w:rsidRPr="00FF229D" w:rsidRDefault="00FF229D" w:rsidP="00620020">
            <w:pPr>
              <w:pStyle w:val="TableHeading"/>
              <w:rPr>
                <w:lang w:val="en-GB"/>
              </w:rPr>
            </w:pPr>
            <w:r w:rsidRPr="00FF229D">
              <w:rPr>
                <w:lang w:val="en-GB"/>
              </w:rPr>
              <w:t xml:space="preserve">Ineligible </w:t>
            </w:r>
            <w:r w:rsidRPr="00620020">
              <w:t>jobs</w:t>
            </w:r>
          </w:p>
        </w:tc>
      </w:tr>
      <w:tr w:rsidR="00FF229D" w:rsidRPr="00FF229D" w14:paraId="17DFE52C" w14:textId="77777777" w:rsidTr="00525BA7">
        <w:trPr>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622E4F2" w14:textId="77777777" w:rsidR="00FF229D" w:rsidRPr="00FF229D" w:rsidRDefault="00FF229D" w:rsidP="00620020">
            <w:pPr>
              <w:pStyle w:val="TableCopy"/>
              <w:rPr>
                <w:lang w:val="en-GB"/>
              </w:rPr>
            </w:pPr>
          </w:p>
        </w:tc>
        <w:tc>
          <w:tcPr>
            <w:cnfStyle w:val="000001000000" w:firstRow="0" w:lastRow="0" w:firstColumn="0" w:lastColumn="0" w:oddVBand="0" w:evenVBand="1" w:oddHBand="0" w:evenHBand="0" w:firstRowFirstColumn="0" w:firstRowLastColumn="0" w:lastRowFirstColumn="0" w:lastRowLastColumn="0"/>
            <w:tcW w:w="8009" w:type="dxa"/>
          </w:tcPr>
          <w:p w14:paraId="63B61365" w14:textId="77777777" w:rsidR="00FF229D" w:rsidRPr="00FF229D" w:rsidRDefault="00FF229D" w:rsidP="00620020">
            <w:pPr>
              <w:pStyle w:val="TableCopy"/>
              <w:rPr>
                <w:lang w:val="en-GB"/>
              </w:rPr>
            </w:pPr>
            <w:r w:rsidRPr="00FF229D">
              <w:rPr>
                <w:lang w:val="en-GB"/>
              </w:rPr>
              <w:t>Ineligible jobs include:</w:t>
            </w:r>
          </w:p>
          <w:p w14:paraId="5B12F0B7" w14:textId="457456B7" w:rsidR="00FF229D" w:rsidRPr="00FF229D" w:rsidRDefault="00FF229D" w:rsidP="00AD697F">
            <w:pPr>
              <w:pStyle w:val="TableBullet"/>
              <w:rPr>
                <w:lang w:val="en-GB"/>
              </w:rPr>
            </w:pPr>
            <w:r w:rsidRPr="00FF229D">
              <w:rPr>
                <w:lang w:val="en-GB"/>
              </w:rPr>
              <w:t xml:space="preserve">casual jobs (no guaranteed hours of work; usually works irregular hours; do not get paid sick or annual leave; can end employment without notice, unless notice is required by a registered agreement, award or employment contract. Further information can be found at the </w:t>
            </w:r>
            <w:hyperlink r:id="rId15" w:history="1">
              <w:r w:rsidRPr="00BD433D">
                <w:rPr>
                  <w:rStyle w:val="Hyperlink"/>
                  <w:b/>
                  <w:bCs/>
                  <w:lang w:val="en-GB"/>
                </w:rPr>
                <w:t>Fair Work website</w:t>
              </w:r>
            </w:hyperlink>
            <w:r w:rsidRPr="00FF229D">
              <w:rPr>
                <w:lang w:val="en-GB"/>
              </w:rPr>
              <w:t>.</w:t>
            </w:r>
          </w:p>
          <w:p w14:paraId="00A99352" w14:textId="77777777" w:rsidR="00FF229D" w:rsidRPr="00FF229D" w:rsidRDefault="00FF229D" w:rsidP="00AD697F">
            <w:pPr>
              <w:pStyle w:val="TableBullet"/>
              <w:rPr>
                <w:lang w:val="en-GB"/>
              </w:rPr>
            </w:pPr>
            <w:r w:rsidRPr="00FF229D">
              <w:rPr>
                <w:lang w:val="en-GB"/>
              </w:rPr>
              <w:t>permanent or fixed-term jobs for less than 19 hours per week.</w:t>
            </w:r>
          </w:p>
          <w:p w14:paraId="0485676A" w14:textId="66A68BB0" w:rsidR="00FF229D" w:rsidRPr="00FF229D" w:rsidRDefault="00FF229D" w:rsidP="00AD697F">
            <w:pPr>
              <w:pStyle w:val="TableBullet"/>
              <w:rPr>
                <w:lang w:val="en-GB"/>
              </w:rPr>
            </w:pPr>
            <w:r w:rsidRPr="00FF229D">
              <w:rPr>
                <w:lang w:val="en-GB"/>
              </w:rPr>
              <w:t>periodic employment such as engagements that are short term in nature (</w:t>
            </w:r>
            <w:proofErr w:type="gramStart"/>
            <w:r w:rsidRPr="00FF229D">
              <w:rPr>
                <w:lang w:val="en-GB"/>
              </w:rPr>
              <w:t>e.g.</w:t>
            </w:r>
            <w:proofErr w:type="gramEnd"/>
            <w:r w:rsidRPr="00FF229D">
              <w:rPr>
                <w:lang w:val="en-GB"/>
              </w:rPr>
              <w:t xml:space="preserve"> weekly hire basis).</w:t>
            </w:r>
          </w:p>
          <w:p w14:paraId="0CDD10F3" w14:textId="103C39B2" w:rsidR="00FF229D" w:rsidRPr="00FF229D" w:rsidRDefault="00FF229D" w:rsidP="00AD697F">
            <w:pPr>
              <w:pStyle w:val="TableBullet"/>
              <w:rPr>
                <w:lang w:val="en-GB"/>
              </w:rPr>
            </w:pPr>
            <w:r w:rsidRPr="00FF229D">
              <w:rPr>
                <w:lang w:val="en-GB"/>
              </w:rPr>
              <w:t>jobs that offer full-time salary or wages above $120,000 per annum excluding</w:t>
            </w:r>
            <w:r w:rsidR="00AD697F">
              <w:rPr>
                <w:lang w:val="en-GB"/>
              </w:rPr>
              <w:t xml:space="preserve"> </w:t>
            </w:r>
            <w:r w:rsidRPr="00FF229D">
              <w:rPr>
                <w:lang w:val="en-GB"/>
              </w:rPr>
              <w:t>superannuation (or pro-rata for part-time).</w:t>
            </w:r>
          </w:p>
        </w:tc>
      </w:tr>
    </w:tbl>
    <w:p w14:paraId="0F080F8F" w14:textId="44AA8B2F" w:rsidR="00BB1B6E" w:rsidRDefault="00FF229D" w:rsidP="00FF229D">
      <w:pPr>
        <w:rPr>
          <w:b/>
          <w:bCs/>
          <w:lang w:val="en-GB"/>
        </w:rPr>
      </w:pPr>
      <w:r w:rsidRPr="00FF229D">
        <w:rPr>
          <w:lang w:val="en-GB"/>
        </w:rPr>
        <w:t xml:space="preserve">Organisations that can create 12-month jobs for priority jobseekers at a larger scale than the above eligibility criteria allow should contact the Department by emailing </w:t>
      </w:r>
      <w:hyperlink r:id="rId16" w:history="1">
        <w:r w:rsidR="00536A1D" w:rsidRPr="003948BC">
          <w:rPr>
            <w:rStyle w:val="Hyperlink"/>
            <w:b/>
            <w:bCs/>
            <w:lang w:val="en-GB"/>
          </w:rPr>
          <w:t>info@jobs.vic.gov.au</w:t>
        </w:r>
      </w:hyperlink>
      <w:r w:rsidR="00BB1B6E">
        <w:rPr>
          <w:b/>
          <w:bCs/>
          <w:lang w:val="en-GB"/>
        </w:rPr>
        <w:t>.</w:t>
      </w:r>
    </w:p>
    <w:p w14:paraId="28487416" w14:textId="7022EACD" w:rsidR="00FF229D" w:rsidRPr="00FF229D" w:rsidRDefault="00FF229D" w:rsidP="00AA7A4B">
      <w:pPr>
        <w:pStyle w:val="Heading2"/>
        <w:numPr>
          <w:ilvl w:val="1"/>
          <w:numId w:val="3"/>
        </w:numPr>
        <w:rPr>
          <w:lang w:val="en-GB"/>
        </w:rPr>
      </w:pPr>
      <w:bookmarkStart w:id="13" w:name="_Applicant_conditions"/>
      <w:bookmarkStart w:id="14" w:name="_Toc67585367"/>
      <w:bookmarkEnd w:id="13"/>
      <w:r w:rsidRPr="00FF229D">
        <w:rPr>
          <w:lang w:val="en-GB"/>
        </w:rPr>
        <w:t>Applicant conditions</w:t>
      </w:r>
      <w:bookmarkEnd w:id="14"/>
    </w:p>
    <w:p w14:paraId="7E9A4123" w14:textId="2CFCB5AE" w:rsidR="00FF229D" w:rsidRPr="00FF229D" w:rsidRDefault="00FF229D" w:rsidP="00FF229D">
      <w:pPr>
        <w:rPr>
          <w:lang w:val="en-GB"/>
        </w:rPr>
      </w:pPr>
      <w:r w:rsidRPr="00FF229D">
        <w:rPr>
          <w:lang w:val="en-GB"/>
        </w:rPr>
        <w:t>Applicants must consider the following conditions when applying for wage subsidies under the Fund:</w:t>
      </w:r>
    </w:p>
    <w:p w14:paraId="7EC1D10D" w14:textId="75D2AC19" w:rsidR="00FF229D" w:rsidRPr="00FF229D" w:rsidRDefault="00FF229D" w:rsidP="00AE0EE5">
      <w:pPr>
        <w:pStyle w:val="Bullet"/>
        <w:rPr>
          <w:lang w:val="en-GB"/>
        </w:rPr>
      </w:pPr>
      <w:r w:rsidRPr="00FF229D">
        <w:rPr>
          <w:lang w:val="en-GB"/>
        </w:rPr>
        <w:t xml:space="preserve">These guidelines are for information only, and do not constitute advice. Applicants should seek independent advice before making an application or entering into a Grant Agreement. </w:t>
      </w:r>
    </w:p>
    <w:p w14:paraId="6C7DCAF1" w14:textId="77777777" w:rsidR="00FF229D" w:rsidRPr="00FF229D" w:rsidRDefault="00FF229D" w:rsidP="00AE0EE5">
      <w:pPr>
        <w:pStyle w:val="Bullet"/>
        <w:rPr>
          <w:lang w:val="en-GB"/>
        </w:rPr>
      </w:pPr>
      <w:r w:rsidRPr="00FF229D">
        <w:rPr>
          <w:lang w:val="en-GB"/>
        </w:rPr>
        <w:t xml:space="preserve">Carefully consider how the applicant organisation will perform against the eligibility criteria before developing an application and hiring employee(s). </w:t>
      </w:r>
    </w:p>
    <w:p w14:paraId="30DF7D0F" w14:textId="2E213DC2" w:rsidR="00FF229D" w:rsidRPr="00FF229D" w:rsidRDefault="00FF229D" w:rsidP="00AE0EE5">
      <w:pPr>
        <w:pStyle w:val="Bullet"/>
        <w:rPr>
          <w:lang w:val="en-GB"/>
        </w:rPr>
      </w:pPr>
      <w:r w:rsidRPr="00FF229D">
        <w:rPr>
          <w:lang w:val="en-GB"/>
        </w:rPr>
        <w:t>The Department reserves the right to amend these guidelines at any time it deems appropriate.</w:t>
      </w:r>
    </w:p>
    <w:p w14:paraId="08CD6585" w14:textId="6925C2B7" w:rsidR="00FF229D" w:rsidRPr="00FF229D" w:rsidRDefault="00FF229D" w:rsidP="00AE0EE5">
      <w:pPr>
        <w:pStyle w:val="Bullet"/>
        <w:rPr>
          <w:lang w:val="en-GB"/>
        </w:rPr>
      </w:pPr>
      <w:r w:rsidRPr="00FF229D">
        <w:rPr>
          <w:lang w:val="en-GB"/>
        </w:rPr>
        <w:t xml:space="preserve">Applicants can apply for and be currently receiving other incentives and/or payments offered by the Victorian and Commonwealth Governments. Applicants are required to declare any Commonwealth wage subsidies (including the </w:t>
      </w:r>
      <w:proofErr w:type="spellStart"/>
      <w:r w:rsidRPr="00FF229D">
        <w:rPr>
          <w:lang w:val="en-GB"/>
        </w:rPr>
        <w:t>JobMaker</w:t>
      </w:r>
      <w:proofErr w:type="spellEnd"/>
      <w:r w:rsidRPr="00FF229D">
        <w:rPr>
          <w:lang w:val="en-GB"/>
        </w:rPr>
        <w:t xml:space="preserve"> Hiring Credit) they are receiving with respect to eligible employees.</w:t>
      </w:r>
    </w:p>
    <w:p w14:paraId="4ABC5437" w14:textId="68ABD78C" w:rsidR="00FF229D" w:rsidRPr="00FF229D" w:rsidRDefault="00FF229D" w:rsidP="00AE0EE5">
      <w:pPr>
        <w:pStyle w:val="Bullet"/>
        <w:rPr>
          <w:lang w:val="en-GB"/>
        </w:rPr>
      </w:pPr>
      <w:r w:rsidRPr="00FF229D">
        <w:rPr>
          <w:lang w:val="en-GB"/>
        </w:rPr>
        <w:t xml:space="preserve">Applicants must declare that funding under the Jobs Victoria Fund will not be used to meet existing commitments under the Social Procurement Framework. </w:t>
      </w:r>
    </w:p>
    <w:p w14:paraId="35F7A4F6" w14:textId="2378F35F" w:rsidR="00FF229D" w:rsidRPr="00FF229D" w:rsidRDefault="00FF229D" w:rsidP="00AE0EE5">
      <w:pPr>
        <w:pStyle w:val="Bullet"/>
        <w:rPr>
          <w:lang w:val="en-GB"/>
        </w:rPr>
      </w:pPr>
      <w:r w:rsidRPr="00FF229D">
        <w:rPr>
          <w:lang w:val="en-GB"/>
        </w:rPr>
        <w:t xml:space="preserve">Applicants must address the eligibility criteria in full, and substantiate all claims, including providing details about underlying risks and assumptions. Failure to do so may result in the application being rejected. </w:t>
      </w:r>
    </w:p>
    <w:p w14:paraId="7880492E" w14:textId="77777777" w:rsidR="00FF229D" w:rsidRPr="00FF229D" w:rsidRDefault="00FF229D" w:rsidP="00AE0EE5">
      <w:pPr>
        <w:pStyle w:val="Bullet"/>
        <w:rPr>
          <w:lang w:val="en-GB"/>
        </w:rPr>
      </w:pPr>
      <w:r w:rsidRPr="00FF229D">
        <w:rPr>
          <w:lang w:val="en-GB"/>
        </w:rPr>
        <w:t xml:space="preserve">The Department may contact applicants to clarify or seek further information. </w:t>
      </w:r>
    </w:p>
    <w:p w14:paraId="6C84656A" w14:textId="721D515C" w:rsidR="00FF229D" w:rsidRPr="00FF229D" w:rsidRDefault="00FF229D" w:rsidP="00AE0EE5">
      <w:pPr>
        <w:pStyle w:val="Bullet"/>
        <w:rPr>
          <w:lang w:val="en-GB"/>
        </w:rPr>
      </w:pPr>
      <w:r w:rsidRPr="00FF229D">
        <w:rPr>
          <w:lang w:val="en-GB"/>
        </w:rPr>
        <w:lastRenderedPageBreak/>
        <w:t xml:space="preserve">The Department reserves the right to only support a portion of jobs for which the applicant has applied. </w:t>
      </w:r>
    </w:p>
    <w:p w14:paraId="2E338F84" w14:textId="69C72C0F" w:rsidR="00FF229D" w:rsidRPr="00FF229D" w:rsidRDefault="00FF229D" w:rsidP="00AE0EE5">
      <w:pPr>
        <w:pStyle w:val="Bullet"/>
        <w:rPr>
          <w:lang w:val="en-GB"/>
        </w:rPr>
      </w:pPr>
      <w:r w:rsidRPr="00FF229D">
        <w:rPr>
          <w:lang w:val="en-GB"/>
        </w:rPr>
        <w:t xml:space="preserve">The Department makes no representation that a grant of funds will be made to any applicant and reserves the right to make no funds available under the Fund. </w:t>
      </w:r>
    </w:p>
    <w:p w14:paraId="0B15861C" w14:textId="18F21C2F" w:rsidR="00FF229D" w:rsidRPr="00FF229D" w:rsidRDefault="00FF229D" w:rsidP="00AE0EE5">
      <w:pPr>
        <w:pStyle w:val="Bullet"/>
        <w:rPr>
          <w:lang w:val="en-GB"/>
        </w:rPr>
      </w:pPr>
      <w:r w:rsidRPr="00FF229D">
        <w:rPr>
          <w:lang w:val="en-GB"/>
        </w:rPr>
        <w:t xml:space="preserve">Applicants are required to declare that all jobs are based in and undertaken in Victoria. </w:t>
      </w:r>
    </w:p>
    <w:p w14:paraId="53C69AC4" w14:textId="2542C395" w:rsidR="00FF229D" w:rsidRPr="00FF229D" w:rsidRDefault="00FF229D" w:rsidP="0011399C">
      <w:pPr>
        <w:pStyle w:val="Bullet"/>
        <w:rPr>
          <w:lang w:val="en-GB"/>
        </w:rPr>
      </w:pPr>
      <w:r w:rsidRPr="00FF229D">
        <w:rPr>
          <w:lang w:val="en-GB"/>
        </w:rPr>
        <w:t xml:space="preserve">Applicants that provide services to children are required to be incorporated as separate legal entities, appropriately insured against child abuse and comply with relevant legislation and codes of conduct. For further information, please see the </w:t>
      </w:r>
      <w:hyperlink r:id="rId17" w:history="1">
        <w:r w:rsidRPr="0007655E">
          <w:rPr>
            <w:rStyle w:val="Hyperlink"/>
            <w:b/>
            <w:bCs/>
            <w:lang w:val="en-GB"/>
          </w:rPr>
          <w:t>Victorian funding requirements for service to children fact sheet</w:t>
        </w:r>
      </w:hyperlink>
      <w:r w:rsidRPr="00FF229D">
        <w:rPr>
          <w:lang w:val="en-GB"/>
        </w:rPr>
        <w:t>.</w:t>
      </w:r>
    </w:p>
    <w:p w14:paraId="052C2CB2" w14:textId="77777777" w:rsidR="00FF229D" w:rsidRPr="00FF229D" w:rsidRDefault="00FF229D" w:rsidP="0011399C">
      <w:pPr>
        <w:pStyle w:val="Bullet"/>
        <w:rPr>
          <w:lang w:val="en-GB"/>
        </w:rPr>
      </w:pPr>
      <w:r w:rsidRPr="00FF229D">
        <w:rPr>
          <w:lang w:val="en-GB"/>
        </w:rPr>
        <w:t>Applicants that provide services to people with disability will need to have appropriate insurance and comply with relevant legislation and codes of conduct.</w:t>
      </w:r>
    </w:p>
    <w:p w14:paraId="0ABB53D4" w14:textId="77777777" w:rsidR="00FF229D" w:rsidRPr="00FF229D" w:rsidRDefault="00FF229D" w:rsidP="0011399C">
      <w:pPr>
        <w:pStyle w:val="Bullet"/>
        <w:rPr>
          <w:lang w:val="en-GB"/>
        </w:rPr>
      </w:pPr>
      <w:r w:rsidRPr="00FF229D">
        <w:rPr>
          <w:lang w:val="en-GB"/>
        </w:rPr>
        <w:t>Where possible, each job supported under the Jobs Victoria Fund should be transitioned to an ongoing job within the organisation beyond the funding period.</w:t>
      </w:r>
    </w:p>
    <w:p w14:paraId="4F8B911B" w14:textId="52C06DBF" w:rsidR="00FF229D" w:rsidRPr="00FF229D" w:rsidRDefault="00FF229D" w:rsidP="0011399C">
      <w:pPr>
        <w:pStyle w:val="Bullet"/>
        <w:rPr>
          <w:lang w:val="en-GB"/>
        </w:rPr>
      </w:pPr>
      <w:r w:rsidRPr="00FF229D">
        <w:rPr>
          <w:lang w:val="en-GB"/>
        </w:rPr>
        <w:t xml:space="preserve">Applicants must be aware that it is a requirement of this grant that, if an institution has been named in an application or receives a Notice of Redress Liability, they must join or intend to join the National Redress Scheme (the Scheme). Further information can be found at </w:t>
      </w:r>
      <w:hyperlink r:id="rId18" w:history="1">
        <w:r w:rsidRPr="0007655E">
          <w:rPr>
            <w:rStyle w:val="Hyperlink"/>
            <w:b/>
            <w:bCs/>
            <w:lang w:val="en-GB"/>
          </w:rPr>
          <w:t>National Redress Scheme</w:t>
        </w:r>
      </w:hyperlink>
      <w:r w:rsidRPr="00FF229D">
        <w:rPr>
          <w:lang w:val="en-GB"/>
        </w:rPr>
        <w:t>. Funding will not be provided to an organisation that has been notified by the National Redress Scheme Operator that it was named in an application and does not join or intend to join the Scheme within six months immediately following the date of that notification.</w:t>
      </w:r>
    </w:p>
    <w:p w14:paraId="384A8F47" w14:textId="77777777" w:rsidR="00FF229D" w:rsidRPr="00FF229D" w:rsidRDefault="00FF229D" w:rsidP="0011399C">
      <w:pPr>
        <w:pStyle w:val="Bullet"/>
        <w:rPr>
          <w:lang w:val="en-GB"/>
        </w:rPr>
      </w:pPr>
      <w:r w:rsidRPr="00FF229D">
        <w:rPr>
          <w:lang w:val="en-GB"/>
        </w:rPr>
        <w:t>Any adverse findings by a regulator or the organisation becoming deregistered as well as any reputational risk to government may be considered as part of the funding decision.</w:t>
      </w:r>
    </w:p>
    <w:p w14:paraId="1F6761CC" w14:textId="46E352CC" w:rsidR="00FF229D" w:rsidRPr="00FF229D" w:rsidRDefault="00FF229D" w:rsidP="0011399C">
      <w:pPr>
        <w:pStyle w:val="Bullet"/>
        <w:rPr>
          <w:lang w:val="en-GB"/>
        </w:rPr>
      </w:pPr>
      <w:r w:rsidRPr="00FF229D">
        <w:rPr>
          <w:lang w:val="en-GB"/>
        </w:rPr>
        <w:t>Applicants who previously received funding under the Working for Victoria initiative can only access wage subsidies for eligible employees from the Jobs Victoria Fund once all Working for Victoria support for the eligible employees has been exhausted.</w:t>
      </w:r>
    </w:p>
    <w:p w14:paraId="5C1FA221" w14:textId="19EC2C0F" w:rsidR="00FF229D" w:rsidRPr="00FF229D" w:rsidRDefault="00FF229D" w:rsidP="0011399C">
      <w:pPr>
        <w:pStyle w:val="Bullet"/>
        <w:rPr>
          <w:lang w:val="en-GB"/>
        </w:rPr>
      </w:pPr>
      <w:r w:rsidRPr="00FF229D">
        <w:rPr>
          <w:lang w:val="en-GB"/>
        </w:rPr>
        <w:t>Performance as an employer under the Working for Victoria initiative may be considered as part of the funding decision.</w:t>
      </w:r>
    </w:p>
    <w:p w14:paraId="449BAFB8" w14:textId="14630E06" w:rsidR="00FF229D" w:rsidRPr="00FF229D" w:rsidRDefault="00FF229D" w:rsidP="0011399C">
      <w:pPr>
        <w:pStyle w:val="Bullet"/>
        <w:rPr>
          <w:lang w:val="en-GB"/>
        </w:rPr>
      </w:pPr>
      <w:r w:rsidRPr="00FF229D">
        <w:rPr>
          <w:lang w:val="en-GB"/>
        </w:rPr>
        <w:t>Successful applicants will be entering into a legal agreement with the Victorian Government.</w:t>
      </w:r>
    </w:p>
    <w:p w14:paraId="23B0F69E" w14:textId="09DFC696" w:rsidR="00FF229D" w:rsidRPr="00FF229D" w:rsidRDefault="00FF229D" w:rsidP="00AA7A4B">
      <w:pPr>
        <w:pStyle w:val="Heading1"/>
        <w:numPr>
          <w:ilvl w:val="0"/>
          <w:numId w:val="3"/>
        </w:numPr>
        <w:rPr>
          <w:lang w:val="en-GB"/>
        </w:rPr>
      </w:pPr>
      <w:bookmarkStart w:id="15" w:name="_Toc67585368"/>
      <w:r w:rsidRPr="00FF229D">
        <w:rPr>
          <w:lang w:val="en-GB"/>
        </w:rPr>
        <w:t>Application and assessment process</w:t>
      </w:r>
      <w:bookmarkEnd w:id="15"/>
    </w:p>
    <w:p w14:paraId="56F1DDE5" w14:textId="68D21260" w:rsidR="00FF229D" w:rsidRPr="00FF229D" w:rsidRDefault="00FF229D" w:rsidP="00AA7A4B">
      <w:pPr>
        <w:pStyle w:val="Heading2"/>
        <w:numPr>
          <w:ilvl w:val="1"/>
          <w:numId w:val="3"/>
        </w:numPr>
        <w:rPr>
          <w:lang w:val="en-GB"/>
        </w:rPr>
      </w:pPr>
      <w:bookmarkStart w:id="16" w:name="_Toc67585369"/>
      <w:r w:rsidRPr="00FF229D">
        <w:rPr>
          <w:lang w:val="en-GB"/>
        </w:rPr>
        <w:t>Submitting your application</w:t>
      </w:r>
      <w:bookmarkEnd w:id="16"/>
      <w:r w:rsidRPr="00FF229D">
        <w:rPr>
          <w:lang w:val="en-GB"/>
        </w:rPr>
        <w:t xml:space="preserve"> </w:t>
      </w:r>
    </w:p>
    <w:p w14:paraId="17DA7382" w14:textId="069B1B35" w:rsidR="00FF229D" w:rsidRPr="00FF229D" w:rsidRDefault="00FF229D" w:rsidP="00FF229D">
      <w:pPr>
        <w:rPr>
          <w:lang w:val="en-GB"/>
        </w:rPr>
      </w:pPr>
      <w:r w:rsidRPr="00FF229D">
        <w:rPr>
          <w:lang w:val="en-GB"/>
        </w:rPr>
        <w:t xml:space="preserve">Applicants can apply for funding through the online application form on the </w:t>
      </w:r>
      <w:hyperlink r:id="rId19" w:history="1">
        <w:r w:rsidRPr="00FF229D">
          <w:rPr>
            <w:rStyle w:val="Hyperlink"/>
            <w:b/>
            <w:bCs/>
            <w:lang w:val="en-GB"/>
          </w:rPr>
          <w:t>Jobs Victoria website</w:t>
        </w:r>
      </w:hyperlink>
      <w:r w:rsidRPr="00FF229D">
        <w:rPr>
          <w:lang w:val="en-GB"/>
        </w:rPr>
        <w:t xml:space="preserve"> once they have employed an eligible employee as outlined in </w:t>
      </w:r>
      <w:hyperlink w:anchor="_Eligibility_criteria" w:history="1">
        <w:r w:rsidRPr="00FF229D">
          <w:rPr>
            <w:rStyle w:val="Hyperlink"/>
            <w:lang w:val="en-GB"/>
          </w:rPr>
          <w:t>section 3</w:t>
        </w:r>
      </w:hyperlink>
      <w:r w:rsidRPr="00FF229D">
        <w:rPr>
          <w:lang w:val="en-GB"/>
        </w:rPr>
        <w:t xml:space="preserve">. </w:t>
      </w:r>
    </w:p>
    <w:p w14:paraId="328E097C" w14:textId="5F9679BA" w:rsidR="00FF229D" w:rsidRPr="00FF229D" w:rsidRDefault="00FF229D" w:rsidP="00FF229D">
      <w:pPr>
        <w:rPr>
          <w:lang w:val="en-GB"/>
        </w:rPr>
      </w:pPr>
      <w:r w:rsidRPr="00FF229D">
        <w:rPr>
          <w:lang w:val="en-GB"/>
        </w:rPr>
        <w:t xml:space="preserve">Before applying applicants may check whether they may be eligible for the Fund by completing the </w:t>
      </w:r>
      <w:r w:rsidRPr="00FF229D">
        <w:rPr>
          <w:i/>
          <w:iCs/>
          <w:lang w:val="en-GB"/>
        </w:rPr>
        <w:t xml:space="preserve">Questionnaire – </w:t>
      </w:r>
      <w:hyperlink r:id="rId20" w:history="1">
        <w:r w:rsidRPr="00FF229D">
          <w:rPr>
            <w:rStyle w:val="Hyperlink"/>
            <w:b/>
            <w:bCs/>
            <w:i/>
            <w:iCs/>
            <w:lang w:val="en-GB"/>
          </w:rPr>
          <w:t>‘Is my business eligible?’</w:t>
        </w:r>
      </w:hyperlink>
      <w:r w:rsidRPr="00FF229D">
        <w:rPr>
          <w:lang w:val="en-GB"/>
        </w:rPr>
        <w:t xml:space="preserve"> and reading these guidelines. If they meet all eligibility criteria and supply the necessary information, they will receive funding (subject to the availability of funds and </w:t>
      </w:r>
      <w:hyperlink w:anchor="_Applicant_conditions" w:history="1">
        <w:r w:rsidRPr="00FF229D">
          <w:rPr>
            <w:rStyle w:val="Hyperlink"/>
            <w:lang w:val="en-GB"/>
          </w:rPr>
          <w:t>3.4 Applicant conditions</w:t>
        </w:r>
      </w:hyperlink>
      <w:r w:rsidRPr="00FF229D">
        <w:rPr>
          <w:lang w:val="en-GB"/>
        </w:rPr>
        <w:t>).</w:t>
      </w:r>
    </w:p>
    <w:p w14:paraId="08767A4B" w14:textId="14BD4510" w:rsidR="00703A29" w:rsidRDefault="00FF229D" w:rsidP="00FF229D">
      <w:pPr>
        <w:rPr>
          <w:b/>
          <w:bCs/>
          <w:lang w:val="en-GB"/>
        </w:rPr>
      </w:pPr>
      <w:r w:rsidRPr="00FF229D">
        <w:rPr>
          <w:lang w:val="en-GB"/>
        </w:rPr>
        <w:t xml:space="preserve">For any questions on eligibility, please contact the Jobs Victoria hotline on 1300 208 575 or email </w:t>
      </w:r>
      <w:hyperlink r:id="rId21" w:history="1">
        <w:r w:rsidR="00703A29" w:rsidRPr="00FF229D">
          <w:rPr>
            <w:rStyle w:val="Hyperlink"/>
            <w:b/>
            <w:bCs/>
            <w:lang w:val="en-GB"/>
          </w:rPr>
          <w:t>info@jobs.vic.gov.au</w:t>
        </w:r>
      </w:hyperlink>
      <w:r w:rsidR="00703A29" w:rsidRPr="00703A29">
        <w:rPr>
          <w:lang w:val="en-GB"/>
        </w:rPr>
        <w:t>.</w:t>
      </w:r>
    </w:p>
    <w:p w14:paraId="63998E56" w14:textId="77777777" w:rsidR="00FF229D" w:rsidRPr="00FF229D" w:rsidRDefault="00FF229D" w:rsidP="00FF229D">
      <w:pPr>
        <w:rPr>
          <w:lang w:val="en-GB"/>
        </w:rPr>
      </w:pPr>
      <w:r w:rsidRPr="00FF229D">
        <w:rPr>
          <w:lang w:val="en-GB"/>
        </w:rPr>
        <w:t xml:space="preserve">All questions must be answered truthfully on the application form. Applications found to include false or misleading information will be rejected and may be referred to the relevant law enforcement authority. </w:t>
      </w:r>
    </w:p>
    <w:p w14:paraId="14F65DA6" w14:textId="77777777" w:rsidR="00FF229D" w:rsidRPr="00FF229D" w:rsidRDefault="00FF229D" w:rsidP="00FF229D">
      <w:pPr>
        <w:rPr>
          <w:lang w:val="en-GB"/>
        </w:rPr>
      </w:pPr>
      <w:r w:rsidRPr="00FF229D">
        <w:rPr>
          <w:lang w:val="en-GB"/>
        </w:rPr>
        <w:t>The online application system requires important information to be supplied including applicant contact information. It is the responsibility of the applicant to ensure information is kept up to date so that the Department can remain in contact.</w:t>
      </w:r>
    </w:p>
    <w:p w14:paraId="4A736C11" w14:textId="4BF389C7" w:rsidR="00FF229D" w:rsidRPr="00FF229D" w:rsidRDefault="00FF229D" w:rsidP="00545FFB">
      <w:pPr>
        <w:pStyle w:val="Heading2"/>
        <w:numPr>
          <w:ilvl w:val="1"/>
          <w:numId w:val="3"/>
        </w:numPr>
        <w:rPr>
          <w:lang w:val="en-GB"/>
        </w:rPr>
      </w:pPr>
      <w:bookmarkStart w:id="17" w:name="_Toc67585370"/>
      <w:r w:rsidRPr="00FF229D">
        <w:rPr>
          <w:lang w:val="en-GB"/>
        </w:rPr>
        <w:t>Assessing your application</w:t>
      </w:r>
      <w:bookmarkEnd w:id="17"/>
    </w:p>
    <w:p w14:paraId="49059BF2" w14:textId="77777777" w:rsidR="00FF229D" w:rsidRPr="00FF229D" w:rsidRDefault="00FF229D" w:rsidP="00FF229D">
      <w:pPr>
        <w:rPr>
          <w:lang w:val="en-GB"/>
        </w:rPr>
      </w:pPr>
      <w:r w:rsidRPr="00FF229D">
        <w:rPr>
          <w:lang w:val="en-GB"/>
        </w:rPr>
        <w:t xml:space="preserve">Applications will be assessed against each of the eligibility criteria. Applicants must satisfy all eligibility criteria to receive funding. </w:t>
      </w:r>
    </w:p>
    <w:p w14:paraId="773C6F99" w14:textId="77777777" w:rsidR="00FF229D" w:rsidRPr="00FF229D" w:rsidRDefault="00FF229D" w:rsidP="00FF229D">
      <w:pPr>
        <w:rPr>
          <w:lang w:val="en-GB"/>
        </w:rPr>
      </w:pPr>
      <w:r w:rsidRPr="00FF229D">
        <w:rPr>
          <w:lang w:val="en-GB"/>
        </w:rPr>
        <w:t xml:space="preserve">Assessments will commence in the order applications are received. </w:t>
      </w:r>
    </w:p>
    <w:p w14:paraId="649234DE" w14:textId="56F75AAF" w:rsidR="00FF229D" w:rsidRPr="00FF229D" w:rsidRDefault="00FF229D" w:rsidP="00FF229D">
      <w:pPr>
        <w:rPr>
          <w:lang w:val="en-GB"/>
        </w:rPr>
      </w:pPr>
      <w:r w:rsidRPr="00FF229D">
        <w:rPr>
          <w:lang w:val="en-GB"/>
        </w:rPr>
        <w:t xml:space="preserve">Consultation with other Victorian Government departments will be undertaken as required. </w:t>
      </w:r>
    </w:p>
    <w:p w14:paraId="58032541" w14:textId="6A5ED4FF" w:rsidR="00FF229D" w:rsidRPr="00FF229D" w:rsidRDefault="00FF229D" w:rsidP="005D196E">
      <w:pPr>
        <w:pStyle w:val="Heading2"/>
        <w:numPr>
          <w:ilvl w:val="1"/>
          <w:numId w:val="3"/>
        </w:numPr>
        <w:rPr>
          <w:lang w:val="en-GB"/>
        </w:rPr>
      </w:pPr>
      <w:bookmarkStart w:id="18" w:name="_Toc67585371"/>
      <w:r w:rsidRPr="00FF229D">
        <w:rPr>
          <w:lang w:val="en-GB"/>
        </w:rPr>
        <w:lastRenderedPageBreak/>
        <w:t xml:space="preserve">Requests </w:t>
      </w:r>
      <w:r w:rsidRPr="005D196E">
        <w:t>for</w:t>
      </w:r>
      <w:r w:rsidRPr="00FF229D">
        <w:rPr>
          <w:lang w:val="en-GB"/>
        </w:rPr>
        <w:t xml:space="preserve"> additional information</w:t>
      </w:r>
      <w:bookmarkEnd w:id="18"/>
    </w:p>
    <w:p w14:paraId="0BB90B14" w14:textId="77777777" w:rsidR="00FF229D" w:rsidRPr="00FF229D" w:rsidRDefault="00FF229D" w:rsidP="00FF229D">
      <w:pPr>
        <w:rPr>
          <w:lang w:val="en-GB"/>
        </w:rPr>
      </w:pPr>
      <w:r w:rsidRPr="00FF229D">
        <w:rPr>
          <w:lang w:val="en-GB"/>
        </w:rPr>
        <w:t xml:space="preserve">The Department may request additional information to determine whether the eligibility criteria have been met. </w:t>
      </w:r>
    </w:p>
    <w:p w14:paraId="54EAB749" w14:textId="77777777" w:rsidR="00FF229D" w:rsidRPr="00FF229D" w:rsidRDefault="00FF229D" w:rsidP="00FF229D">
      <w:pPr>
        <w:rPr>
          <w:lang w:val="en-GB"/>
        </w:rPr>
      </w:pPr>
      <w:r w:rsidRPr="00FF229D">
        <w:rPr>
          <w:lang w:val="en-GB"/>
        </w:rPr>
        <w:t xml:space="preserve">If an applicant has been requested to provide more information, their application will remain open for 30 business days to allow them to upload the requested documentation. </w:t>
      </w:r>
    </w:p>
    <w:p w14:paraId="4B864E20" w14:textId="531E2A47" w:rsidR="00FF229D" w:rsidRPr="00FF229D" w:rsidRDefault="00FF229D" w:rsidP="005D196E">
      <w:pPr>
        <w:pStyle w:val="Heading2"/>
        <w:numPr>
          <w:ilvl w:val="1"/>
          <w:numId w:val="3"/>
        </w:numPr>
        <w:rPr>
          <w:lang w:val="en-GB"/>
        </w:rPr>
      </w:pPr>
      <w:bookmarkStart w:id="19" w:name="_Toc67585372"/>
      <w:r w:rsidRPr="00FF229D">
        <w:rPr>
          <w:lang w:val="en-GB"/>
        </w:rPr>
        <w:t>Processing your application</w:t>
      </w:r>
      <w:bookmarkEnd w:id="19"/>
    </w:p>
    <w:p w14:paraId="7A6FFCF6" w14:textId="77777777" w:rsidR="00FF229D" w:rsidRPr="00FF229D" w:rsidRDefault="00FF229D" w:rsidP="00FF229D">
      <w:pPr>
        <w:rPr>
          <w:lang w:val="en-GB"/>
        </w:rPr>
      </w:pPr>
      <w:r w:rsidRPr="00FF229D">
        <w:rPr>
          <w:lang w:val="en-GB"/>
        </w:rPr>
        <w:t>The Department will advise each applicant in writing of the outcome of their application, including the amount of funding to be offered and any conditions attached to the funding offer.</w:t>
      </w:r>
    </w:p>
    <w:p w14:paraId="35485351" w14:textId="23E9EB3D" w:rsidR="00FF229D" w:rsidRPr="00FF229D" w:rsidRDefault="00FF229D" w:rsidP="00FF229D">
      <w:pPr>
        <w:rPr>
          <w:lang w:val="en-GB"/>
        </w:rPr>
      </w:pPr>
      <w:r w:rsidRPr="00FF229D">
        <w:rPr>
          <w:lang w:val="en-GB"/>
        </w:rPr>
        <w:t xml:space="preserve">The Department has full discretion and authority to determine which employers are eligible to receive funding and the amount of funding offered. The State of Victoria also reserves the right to withdraw the offer of funding if the Grant Agreement is not finalised. </w:t>
      </w:r>
    </w:p>
    <w:p w14:paraId="32B11E46" w14:textId="4748D85C" w:rsidR="00FF229D" w:rsidRPr="00FF229D" w:rsidRDefault="00FF229D" w:rsidP="005D196E">
      <w:pPr>
        <w:pStyle w:val="Heading2"/>
        <w:numPr>
          <w:ilvl w:val="1"/>
          <w:numId w:val="3"/>
        </w:numPr>
        <w:rPr>
          <w:lang w:val="en-GB"/>
        </w:rPr>
      </w:pPr>
      <w:bookmarkStart w:id="20" w:name="_Toc67585373"/>
      <w:r w:rsidRPr="00FF229D">
        <w:rPr>
          <w:lang w:val="en-GB"/>
        </w:rPr>
        <w:t>Payment milestones</w:t>
      </w:r>
      <w:bookmarkEnd w:id="20"/>
    </w:p>
    <w:p w14:paraId="4FE320B8" w14:textId="4BA956D2" w:rsidR="00FF229D" w:rsidRPr="00FF229D" w:rsidRDefault="00FF229D" w:rsidP="00FF229D">
      <w:pPr>
        <w:rPr>
          <w:lang w:val="en-GB"/>
        </w:rPr>
      </w:pPr>
      <w:r w:rsidRPr="00FF229D">
        <w:rPr>
          <w:lang w:val="en-GB"/>
        </w:rPr>
        <w:t xml:space="preserve">Following execution of the Grant Agreement, payments will be made in line with a payment schedule specified by the Department. </w:t>
      </w:r>
    </w:p>
    <w:tbl>
      <w:tblPr>
        <w:tblStyle w:val="PlainTable2"/>
        <w:tblW w:w="0" w:type="auto"/>
        <w:tblInd w:w="-5" w:type="dxa"/>
        <w:tblLayout w:type="fixed"/>
        <w:tblLook w:val="0000" w:firstRow="0" w:lastRow="0" w:firstColumn="0" w:lastColumn="0" w:noHBand="0" w:noVBand="0"/>
      </w:tblPr>
      <w:tblGrid>
        <w:gridCol w:w="5174"/>
        <w:gridCol w:w="5174"/>
      </w:tblGrid>
      <w:tr w:rsidR="00FF229D" w:rsidRPr="00FF229D" w14:paraId="40C6F8B2" w14:textId="77777777" w:rsidTr="000B09F9">
        <w:trPr>
          <w:cantSplit/>
          <w:trHeight w:val="113"/>
          <w:tblHeader/>
        </w:trPr>
        <w:tc>
          <w:tcPr>
            <w:cnfStyle w:val="000010000000" w:firstRow="0" w:lastRow="0" w:firstColumn="0" w:lastColumn="0" w:oddVBand="1" w:evenVBand="0" w:oddHBand="0" w:evenHBand="0" w:firstRowFirstColumn="0" w:firstRowLastColumn="0" w:lastRowFirstColumn="0" w:lastRowLastColumn="0"/>
            <w:tcW w:w="5174" w:type="dxa"/>
          </w:tcPr>
          <w:p w14:paraId="576B2303" w14:textId="6845ADDE" w:rsidR="00FF229D" w:rsidRPr="00FF229D" w:rsidRDefault="00FF229D" w:rsidP="000B09F9">
            <w:pPr>
              <w:pStyle w:val="TableHeading"/>
              <w:rPr>
                <w:lang w:val="en-GB"/>
              </w:rPr>
            </w:pPr>
            <w:r w:rsidRPr="00FF229D">
              <w:rPr>
                <w:lang w:val="en-GB"/>
              </w:rPr>
              <w:t>Level 1 wage subsidy ($20,000 based on 1.0 FTE)</w:t>
            </w:r>
          </w:p>
        </w:tc>
        <w:tc>
          <w:tcPr>
            <w:cnfStyle w:val="000001000000" w:firstRow="0" w:lastRow="0" w:firstColumn="0" w:lastColumn="0" w:oddVBand="0" w:evenVBand="1" w:oddHBand="0" w:evenHBand="0" w:firstRowFirstColumn="0" w:firstRowLastColumn="0" w:lastRowFirstColumn="0" w:lastRowLastColumn="0"/>
            <w:tcW w:w="5174" w:type="dxa"/>
          </w:tcPr>
          <w:p w14:paraId="442B00B5" w14:textId="37E46F83" w:rsidR="00FF229D" w:rsidRPr="00FF229D" w:rsidRDefault="00FF229D" w:rsidP="000B09F9">
            <w:pPr>
              <w:pStyle w:val="TableHeading"/>
              <w:rPr>
                <w:lang w:val="en-GB"/>
              </w:rPr>
            </w:pPr>
            <w:r w:rsidRPr="00FF229D">
              <w:rPr>
                <w:lang w:val="en-GB"/>
              </w:rPr>
              <w:t>Level 2 wage subsidy</w:t>
            </w:r>
            <w:r w:rsidR="000B09F9">
              <w:rPr>
                <w:lang w:val="en-GB"/>
              </w:rPr>
              <w:t xml:space="preserve"> </w:t>
            </w:r>
            <w:r w:rsidRPr="00FF229D">
              <w:rPr>
                <w:lang w:val="en-GB"/>
              </w:rPr>
              <w:t>($10,000 based on 1.0 FTE)</w:t>
            </w:r>
          </w:p>
        </w:tc>
      </w:tr>
      <w:tr w:rsidR="00FF229D" w:rsidRPr="00FF229D" w14:paraId="70C82775" w14:textId="77777777" w:rsidTr="000B09F9">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5174" w:type="dxa"/>
          </w:tcPr>
          <w:p w14:paraId="2C3F8F72" w14:textId="77777777" w:rsidR="00FF229D" w:rsidRPr="00FF229D" w:rsidRDefault="00FF229D" w:rsidP="000B09F9">
            <w:pPr>
              <w:pStyle w:val="TableCopy"/>
              <w:rPr>
                <w:lang w:val="en-GB"/>
              </w:rPr>
            </w:pPr>
            <w:r w:rsidRPr="00FF229D">
              <w:rPr>
                <w:lang w:val="en-GB"/>
              </w:rPr>
              <w:t>Payments are made directly to the eligible employer, in three parts:</w:t>
            </w:r>
          </w:p>
          <w:p w14:paraId="1D6EC688" w14:textId="77777777" w:rsidR="00FF229D" w:rsidRPr="00FF229D" w:rsidRDefault="00FF229D" w:rsidP="000B09F9">
            <w:pPr>
              <w:pStyle w:val="TableBullet"/>
              <w:rPr>
                <w:lang w:val="en-GB"/>
              </w:rPr>
            </w:pPr>
            <w:r w:rsidRPr="00FF229D">
              <w:rPr>
                <w:lang w:val="en-GB"/>
              </w:rPr>
              <w:t xml:space="preserve">On submission of initial payslips: payment of $6,000. </w:t>
            </w:r>
          </w:p>
          <w:p w14:paraId="3DC31923" w14:textId="1F0D3F92" w:rsidR="00FF229D" w:rsidRPr="00FF229D" w:rsidRDefault="00FF229D" w:rsidP="000B09F9">
            <w:pPr>
              <w:pStyle w:val="TableBullet"/>
              <w:rPr>
                <w:lang w:val="en-GB"/>
              </w:rPr>
            </w:pPr>
            <w:r w:rsidRPr="00FF229D">
              <w:rPr>
                <w:lang w:val="en-GB"/>
              </w:rPr>
              <w:t xml:space="preserve">26 weeks after the date of employment (in the case of employment of more than one employee, 26 weeks after the most recent date of employment): second payment of $6,000. </w:t>
            </w:r>
          </w:p>
          <w:p w14:paraId="00A8235E" w14:textId="5861F4A7" w:rsidR="00FF229D" w:rsidRPr="00FF229D" w:rsidRDefault="00FF229D" w:rsidP="000B09F9">
            <w:pPr>
              <w:pStyle w:val="TableBullet"/>
              <w:rPr>
                <w:lang w:val="en-GB"/>
              </w:rPr>
            </w:pPr>
            <w:r w:rsidRPr="00FF229D">
              <w:rPr>
                <w:lang w:val="en-GB"/>
              </w:rPr>
              <w:t xml:space="preserve">52 weeks after the date of employment (in the case of employment of more than one employee, 52 weeks after the most recent date of employment): Final payment of $8,000. </w:t>
            </w:r>
          </w:p>
        </w:tc>
        <w:tc>
          <w:tcPr>
            <w:cnfStyle w:val="000001000000" w:firstRow="0" w:lastRow="0" w:firstColumn="0" w:lastColumn="0" w:oddVBand="0" w:evenVBand="1" w:oddHBand="0" w:evenHBand="0" w:firstRowFirstColumn="0" w:firstRowLastColumn="0" w:lastRowFirstColumn="0" w:lastRowLastColumn="0"/>
            <w:tcW w:w="5174" w:type="dxa"/>
          </w:tcPr>
          <w:p w14:paraId="4D6183D8" w14:textId="77777777" w:rsidR="00FF229D" w:rsidRPr="00FF229D" w:rsidRDefault="00FF229D" w:rsidP="000B09F9">
            <w:pPr>
              <w:pStyle w:val="TableCopy"/>
              <w:rPr>
                <w:lang w:val="en-GB"/>
              </w:rPr>
            </w:pPr>
            <w:r w:rsidRPr="00FF229D">
              <w:rPr>
                <w:lang w:val="en-GB"/>
              </w:rPr>
              <w:t>Payments are made directly to the eligible employer, in three parts:</w:t>
            </w:r>
          </w:p>
          <w:p w14:paraId="310BE63D" w14:textId="77777777" w:rsidR="00FF229D" w:rsidRPr="000B09F9" w:rsidRDefault="00FF229D" w:rsidP="000B09F9">
            <w:pPr>
              <w:pStyle w:val="TableBullet"/>
            </w:pPr>
            <w:r w:rsidRPr="00FF229D">
              <w:rPr>
                <w:lang w:val="en-GB"/>
              </w:rPr>
              <w:t xml:space="preserve">On </w:t>
            </w:r>
            <w:r w:rsidRPr="000B09F9">
              <w:t xml:space="preserve">submission of initial </w:t>
            </w:r>
            <w:proofErr w:type="spellStart"/>
            <w:r w:rsidRPr="000B09F9">
              <w:t>payslips</w:t>
            </w:r>
            <w:proofErr w:type="spellEnd"/>
            <w:r w:rsidRPr="000B09F9">
              <w:t xml:space="preserve">: payment of $3,000. </w:t>
            </w:r>
          </w:p>
          <w:p w14:paraId="308C7F43" w14:textId="5D8D6E97" w:rsidR="00FF229D" w:rsidRPr="000B09F9" w:rsidRDefault="00FF229D" w:rsidP="000B09F9">
            <w:pPr>
              <w:pStyle w:val="TableBullet"/>
            </w:pPr>
            <w:r w:rsidRPr="000B09F9">
              <w:t xml:space="preserve">26 weeks after the date of employment (in the case of employment of more than one employee, 26 weeks after the most recent date of employment): second payment of $3,000. </w:t>
            </w:r>
          </w:p>
          <w:p w14:paraId="18FB03A9" w14:textId="15D8786A" w:rsidR="00FF229D" w:rsidRPr="00FF229D" w:rsidRDefault="00FF229D" w:rsidP="000B09F9">
            <w:pPr>
              <w:pStyle w:val="TableBullet"/>
              <w:rPr>
                <w:lang w:val="en-GB"/>
              </w:rPr>
            </w:pPr>
            <w:r w:rsidRPr="000B09F9">
              <w:t>52 weeks after the date of employment (in the case</w:t>
            </w:r>
            <w:r w:rsidRPr="00FF229D">
              <w:rPr>
                <w:lang w:val="en-GB"/>
              </w:rPr>
              <w:t xml:space="preserve"> of employment of more than one employee, 52 weeks after the most recent date of employment): final payment of $4,000. </w:t>
            </w:r>
          </w:p>
        </w:tc>
      </w:tr>
    </w:tbl>
    <w:p w14:paraId="6897961E" w14:textId="77777777" w:rsidR="00FF229D" w:rsidRPr="00FF229D" w:rsidRDefault="00FF229D" w:rsidP="00FF229D">
      <w:pPr>
        <w:rPr>
          <w:lang w:val="en-GB"/>
        </w:rPr>
      </w:pPr>
      <w:r w:rsidRPr="00FF229D">
        <w:rPr>
          <w:lang w:val="en-GB"/>
        </w:rPr>
        <w:t>N.B. Claims cannot be made for second or final payments (later payments) unless the previous milestone requirements have been met.</w:t>
      </w:r>
    </w:p>
    <w:p w14:paraId="1A66E2A7" w14:textId="77777777" w:rsidR="00FF229D" w:rsidRPr="00FF229D" w:rsidRDefault="00FF229D" w:rsidP="00FF229D">
      <w:pPr>
        <w:rPr>
          <w:lang w:val="en-GB"/>
        </w:rPr>
      </w:pPr>
      <w:r w:rsidRPr="00FF229D">
        <w:rPr>
          <w:lang w:val="en-GB"/>
        </w:rPr>
        <w:t>Employers are only eligible to receive one payment type (</w:t>
      </w:r>
      <w:proofErr w:type="gramStart"/>
      <w:r w:rsidRPr="00FF229D">
        <w:rPr>
          <w:lang w:val="en-GB"/>
        </w:rPr>
        <w:t>i.e.</w:t>
      </w:r>
      <w:proofErr w:type="gramEnd"/>
      <w:r w:rsidRPr="00FF229D">
        <w:rPr>
          <w:lang w:val="en-GB"/>
        </w:rPr>
        <w:t xml:space="preserve"> level 1 or level 2 wage subsidy) per eligible employee.</w:t>
      </w:r>
    </w:p>
    <w:p w14:paraId="62DB74E2" w14:textId="1B0D1A48" w:rsidR="00FF229D" w:rsidRPr="00FF229D" w:rsidRDefault="00FF229D" w:rsidP="00FF229D">
      <w:pPr>
        <w:rPr>
          <w:lang w:val="en-GB"/>
        </w:rPr>
      </w:pPr>
      <w:r w:rsidRPr="00FF229D">
        <w:rPr>
          <w:lang w:val="en-GB"/>
        </w:rPr>
        <w:t>Payment is contingent on employers meeting the terms in the Grant Agreement and providing evidence that the employees for which wage subsidies are being sought remain employed by the organisation.</w:t>
      </w:r>
    </w:p>
    <w:p w14:paraId="181FE589" w14:textId="77777777" w:rsidR="00FF229D" w:rsidRPr="00FF229D" w:rsidRDefault="00FF229D" w:rsidP="00DB5555">
      <w:pPr>
        <w:pStyle w:val="Heading3"/>
        <w:rPr>
          <w:lang w:val="en-GB"/>
        </w:rPr>
      </w:pPr>
      <w:r w:rsidRPr="00FF229D">
        <w:rPr>
          <w:lang w:val="en-GB"/>
        </w:rPr>
        <w:t>Milestone requirements</w:t>
      </w:r>
    </w:p>
    <w:p w14:paraId="1AB56DAC" w14:textId="77777777" w:rsidR="00FF229D" w:rsidRPr="00FF229D" w:rsidRDefault="00FF229D" w:rsidP="00FF229D">
      <w:pPr>
        <w:rPr>
          <w:lang w:val="en-GB"/>
        </w:rPr>
      </w:pPr>
      <w:r w:rsidRPr="00FF229D">
        <w:rPr>
          <w:lang w:val="en-GB"/>
        </w:rPr>
        <w:t>A summary of the requirements for each milestone is provided below.</w:t>
      </w:r>
    </w:p>
    <w:tbl>
      <w:tblPr>
        <w:tblStyle w:val="PlainTable2"/>
        <w:tblW w:w="10490" w:type="dxa"/>
        <w:tblLayout w:type="fixed"/>
        <w:tblLook w:val="0000" w:firstRow="0" w:lastRow="0" w:firstColumn="0" w:lastColumn="0" w:noHBand="0" w:noVBand="0"/>
      </w:tblPr>
      <w:tblGrid>
        <w:gridCol w:w="1247"/>
        <w:gridCol w:w="1701"/>
        <w:gridCol w:w="3771"/>
        <w:gridCol w:w="3771"/>
      </w:tblGrid>
      <w:tr w:rsidR="00FF229D" w:rsidRPr="00FF229D" w14:paraId="443B466D" w14:textId="77777777" w:rsidTr="00502B76">
        <w:trPr>
          <w:cantSplit/>
          <w:trHeight w:val="113"/>
          <w:tblHeader/>
        </w:trPr>
        <w:tc>
          <w:tcPr>
            <w:cnfStyle w:val="000010000000" w:firstRow="0" w:lastRow="0" w:firstColumn="0" w:lastColumn="0" w:oddVBand="1" w:evenVBand="0" w:oddHBand="0" w:evenHBand="0" w:firstRowFirstColumn="0" w:firstRowLastColumn="0" w:lastRowFirstColumn="0" w:lastRowLastColumn="0"/>
            <w:tcW w:w="1247" w:type="dxa"/>
          </w:tcPr>
          <w:p w14:paraId="3D3D1C1A" w14:textId="77777777" w:rsidR="00FF229D" w:rsidRPr="00FF229D" w:rsidRDefault="00FF229D" w:rsidP="00297C38">
            <w:pPr>
              <w:pStyle w:val="TableHeading"/>
              <w:rPr>
                <w:lang w:val="en-GB"/>
              </w:rPr>
            </w:pPr>
            <w:r w:rsidRPr="00FF229D">
              <w:rPr>
                <w:lang w:val="en-GB"/>
              </w:rPr>
              <w:t>Milestone</w:t>
            </w:r>
          </w:p>
        </w:tc>
        <w:tc>
          <w:tcPr>
            <w:cnfStyle w:val="000001000000" w:firstRow="0" w:lastRow="0" w:firstColumn="0" w:lastColumn="0" w:oddVBand="0" w:evenVBand="1" w:oddHBand="0" w:evenHBand="0" w:firstRowFirstColumn="0" w:firstRowLastColumn="0" w:lastRowFirstColumn="0" w:lastRowLastColumn="0"/>
            <w:tcW w:w="1701" w:type="dxa"/>
          </w:tcPr>
          <w:p w14:paraId="6C6BE942" w14:textId="77777777" w:rsidR="00FF229D" w:rsidRPr="00FF229D" w:rsidRDefault="00FF229D" w:rsidP="00297C38">
            <w:pPr>
              <w:pStyle w:val="TableHeading"/>
              <w:rPr>
                <w:lang w:val="en-GB"/>
              </w:rPr>
            </w:pPr>
            <w:r w:rsidRPr="00FF229D">
              <w:rPr>
                <w:lang w:val="en-GB"/>
              </w:rPr>
              <w:t>Timing</w:t>
            </w:r>
          </w:p>
        </w:tc>
        <w:tc>
          <w:tcPr>
            <w:cnfStyle w:val="000010000000" w:firstRow="0" w:lastRow="0" w:firstColumn="0" w:lastColumn="0" w:oddVBand="1" w:evenVBand="0" w:oddHBand="0" w:evenHBand="0" w:firstRowFirstColumn="0" w:firstRowLastColumn="0" w:lastRowFirstColumn="0" w:lastRowLastColumn="0"/>
            <w:tcW w:w="3771" w:type="dxa"/>
          </w:tcPr>
          <w:p w14:paraId="02E084B0" w14:textId="77777777" w:rsidR="00FF229D" w:rsidRPr="00FF229D" w:rsidRDefault="00FF229D" w:rsidP="00297C38">
            <w:pPr>
              <w:pStyle w:val="TableHeading"/>
              <w:rPr>
                <w:lang w:val="en-GB"/>
              </w:rPr>
            </w:pPr>
            <w:r w:rsidRPr="00FF229D">
              <w:rPr>
                <w:lang w:val="en-GB"/>
              </w:rPr>
              <w:t>Amount</w:t>
            </w:r>
          </w:p>
        </w:tc>
        <w:tc>
          <w:tcPr>
            <w:cnfStyle w:val="000001000000" w:firstRow="0" w:lastRow="0" w:firstColumn="0" w:lastColumn="0" w:oddVBand="0" w:evenVBand="1" w:oddHBand="0" w:evenHBand="0" w:firstRowFirstColumn="0" w:firstRowLastColumn="0" w:lastRowFirstColumn="0" w:lastRowLastColumn="0"/>
            <w:tcW w:w="3771" w:type="dxa"/>
          </w:tcPr>
          <w:p w14:paraId="7A4F0337" w14:textId="77777777" w:rsidR="00FF229D" w:rsidRPr="00FF229D" w:rsidRDefault="00FF229D" w:rsidP="00297C38">
            <w:pPr>
              <w:pStyle w:val="TableHeading"/>
              <w:rPr>
                <w:lang w:val="en-GB"/>
              </w:rPr>
            </w:pPr>
            <w:r w:rsidRPr="00FF229D">
              <w:rPr>
                <w:lang w:val="en-GB"/>
              </w:rPr>
              <w:t>Requirement</w:t>
            </w:r>
          </w:p>
        </w:tc>
      </w:tr>
      <w:tr w:rsidR="00FF229D" w:rsidRPr="00FF229D" w14:paraId="327EC8FC" w14:textId="77777777" w:rsidTr="00502B7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247" w:type="dxa"/>
          </w:tcPr>
          <w:p w14:paraId="31098E4D" w14:textId="77777777" w:rsidR="00FF229D" w:rsidRPr="00FF229D" w:rsidRDefault="00FF229D" w:rsidP="00297C38">
            <w:pPr>
              <w:pStyle w:val="TableCopy"/>
              <w:rPr>
                <w:lang w:val="en-GB"/>
              </w:rPr>
            </w:pPr>
            <w:r w:rsidRPr="00FF229D">
              <w:rPr>
                <w:lang w:val="en-GB"/>
              </w:rPr>
              <w:t>1</w:t>
            </w:r>
          </w:p>
        </w:tc>
        <w:tc>
          <w:tcPr>
            <w:cnfStyle w:val="000001000000" w:firstRow="0" w:lastRow="0" w:firstColumn="0" w:lastColumn="0" w:oddVBand="0" w:evenVBand="1" w:oddHBand="0" w:evenHBand="0" w:firstRowFirstColumn="0" w:firstRowLastColumn="0" w:lastRowFirstColumn="0" w:lastRowLastColumn="0"/>
            <w:tcW w:w="1701" w:type="dxa"/>
          </w:tcPr>
          <w:p w14:paraId="56A4FD7B" w14:textId="77777777" w:rsidR="00FF229D" w:rsidRPr="00FF229D" w:rsidRDefault="00FF229D" w:rsidP="00297C38">
            <w:pPr>
              <w:pStyle w:val="TableCopy"/>
              <w:rPr>
                <w:lang w:val="en-GB"/>
              </w:rPr>
            </w:pPr>
            <w:r w:rsidRPr="00FF229D">
              <w:rPr>
                <w:lang w:val="en-GB"/>
              </w:rPr>
              <w:t>Submission of initial payslips</w:t>
            </w:r>
          </w:p>
        </w:tc>
        <w:tc>
          <w:tcPr>
            <w:cnfStyle w:val="000010000000" w:firstRow="0" w:lastRow="0" w:firstColumn="0" w:lastColumn="0" w:oddVBand="1" w:evenVBand="0" w:oddHBand="0" w:evenHBand="0" w:firstRowFirstColumn="0" w:firstRowLastColumn="0" w:lastRowFirstColumn="0" w:lastRowLastColumn="0"/>
            <w:tcW w:w="3771" w:type="dxa"/>
          </w:tcPr>
          <w:p w14:paraId="129D4BE7" w14:textId="77777777" w:rsidR="00FF229D" w:rsidRPr="00FF229D" w:rsidRDefault="00FF229D" w:rsidP="00297C38">
            <w:pPr>
              <w:pStyle w:val="TableCopy"/>
              <w:rPr>
                <w:lang w:val="en-GB"/>
              </w:rPr>
            </w:pPr>
            <w:r w:rsidRPr="00FF229D">
              <w:rPr>
                <w:lang w:val="en-GB"/>
              </w:rPr>
              <w:t>Level 1 wage subsidy: $6,000 per FTE</w:t>
            </w:r>
          </w:p>
          <w:p w14:paraId="377585D4" w14:textId="77777777" w:rsidR="00FF229D" w:rsidRPr="00FF229D" w:rsidRDefault="00FF229D" w:rsidP="00297C38">
            <w:pPr>
              <w:pStyle w:val="TableCopy"/>
              <w:rPr>
                <w:lang w:val="en-GB"/>
              </w:rPr>
            </w:pPr>
            <w:r w:rsidRPr="00FF229D">
              <w:rPr>
                <w:lang w:val="en-GB"/>
              </w:rPr>
              <w:t>Level 2 wage subsidy: $3,000 per FTE</w:t>
            </w:r>
          </w:p>
        </w:tc>
        <w:tc>
          <w:tcPr>
            <w:cnfStyle w:val="000001000000" w:firstRow="0" w:lastRow="0" w:firstColumn="0" w:lastColumn="0" w:oddVBand="0" w:evenVBand="1" w:oddHBand="0" w:evenHBand="0" w:firstRowFirstColumn="0" w:firstRowLastColumn="0" w:lastRowFirstColumn="0" w:lastRowLastColumn="0"/>
            <w:tcW w:w="3771" w:type="dxa"/>
          </w:tcPr>
          <w:p w14:paraId="329BF699" w14:textId="77777777" w:rsidR="00FF229D" w:rsidRPr="00FF229D" w:rsidRDefault="00FF229D" w:rsidP="00502B76">
            <w:pPr>
              <w:pStyle w:val="TableBullet"/>
              <w:rPr>
                <w:lang w:val="en-GB"/>
              </w:rPr>
            </w:pPr>
            <w:r w:rsidRPr="00FF229D">
              <w:rPr>
                <w:lang w:val="en-GB"/>
              </w:rPr>
              <w:t>Payslips for all employees</w:t>
            </w:r>
          </w:p>
          <w:p w14:paraId="24502A98" w14:textId="77777777" w:rsidR="00FF229D" w:rsidRPr="00FF229D" w:rsidRDefault="00FF229D" w:rsidP="00502B76">
            <w:pPr>
              <w:pStyle w:val="TableBullet"/>
              <w:rPr>
                <w:lang w:val="en-GB"/>
              </w:rPr>
            </w:pPr>
            <w:r w:rsidRPr="00FF229D">
              <w:rPr>
                <w:lang w:val="en-GB"/>
              </w:rPr>
              <w:t>Statutory declaration*</w:t>
            </w:r>
          </w:p>
        </w:tc>
      </w:tr>
      <w:tr w:rsidR="00FF229D" w:rsidRPr="00FF229D" w14:paraId="0B9B5D66" w14:textId="77777777" w:rsidTr="00502B76">
        <w:trPr>
          <w:cantSplit/>
          <w:trHeight w:val="113"/>
        </w:trPr>
        <w:tc>
          <w:tcPr>
            <w:cnfStyle w:val="000010000000" w:firstRow="0" w:lastRow="0" w:firstColumn="0" w:lastColumn="0" w:oddVBand="1" w:evenVBand="0" w:oddHBand="0" w:evenHBand="0" w:firstRowFirstColumn="0" w:firstRowLastColumn="0" w:lastRowFirstColumn="0" w:lastRowLastColumn="0"/>
            <w:tcW w:w="1247" w:type="dxa"/>
          </w:tcPr>
          <w:p w14:paraId="44F13520" w14:textId="77777777" w:rsidR="00FF229D" w:rsidRPr="00FF229D" w:rsidRDefault="00FF229D" w:rsidP="00297C38">
            <w:pPr>
              <w:pStyle w:val="TableCopy"/>
              <w:rPr>
                <w:lang w:val="en-GB"/>
              </w:rPr>
            </w:pPr>
            <w:r w:rsidRPr="00FF229D">
              <w:rPr>
                <w:lang w:val="en-GB"/>
              </w:rPr>
              <w:t>2</w:t>
            </w:r>
          </w:p>
        </w:tc>
        <w:tc>
          <w:tcPr>
            <w:cnfStyle w:val="000001000000" w:firstRow="0" w:lastRow="0" w:firstColumn="0" w:lastColumn="0" w:oddVBand="0" w:evenVBand="1" w:oddHBand="0" w:evenHBand="0" w:firstRowFirstColumn="0" w:firstRowLastColumn="0" w:lastRowFirstColumn="0" w:lastRowLastColumn="0"/>
            <w:tcW w:w="1701" w:type="dxa"/>
          </w:tcPr>
          <w:p w14:paraId="748FF4B3" w14:textId="77777777" w:rsidR="00FF229D" w:rsidRPr="00FF229D" w:rsidRDefault="00FF229D" w:rsidP="00297C38">
            <w:pPr>
              <w:pStyle w:val="TableCopy"/>
              <w:rPr>
                <w:lang w:val="en-GB"/>
              </w:rPr>
            </w:pPr>
            <w:r w:rsidRPr="00FF229D">
              <w:rPr>
                <w:lang w:val="en-GB"/>
              </w:rPr>
              <w:t>At least 26 weeks of continuous employment</w:t>
            </w:r>
          </w:p>
        </w:tc>
        <w:tc>
          <w:tcPr>
            <w:cnfStyle w:val="000010000000" w:firstRow="0" w:lastRow="0" w:firstColumn="0" w:lastColumn="0" w:oddVBand="1" w:evenVBand="0" w:oddHBand="0" w:evenHBand="0" w:firstRowFirstColumn="0" w:firstRowLastColumn="0" w:lastRowFirstColumn="0" w:lastRowLastColumn="0"/>
            <w:tcW w:w="3771" w:type="dxa"/>
          </w:tcPr>
          <w:p w14:paraId="51AB5C54" w14:textId="77777777" w:rsidR="00FF229D" w:rsidRPr="00FF229D" w:rsidRDefault="00FF229D" w:rsidP="00297C38">
            <w:pPr>
              <w:pStyle w:val="TableCopy"/>
              <w:rPr>
                <w:lang w:val="en-GB"/>
              </w:rPr>
            </w:pPr>
            <w:r w:rsidRPr="00FF229D">
              <w:rPr>
                <w:lang w:val="en-GB"/>
              </w:rPr>
              <w:t>Level 1 wage subsidy: $6,000 per FTE</w:t>
            </w:r>
          </w:p>
          <w:p w14:paraId="3601F289" w14:textId="77777777" w:rsidR="00FF229D" w:rsidRPr="00FF229D" w:rsidRDefault="00FF229D" w:rsidP="00297C38">
            <w:pPr>
              <w:pStyle w:val="TableCopy"/>
              <w:rPr>
                <w:lang w:val="en-GB"/>
              </w:rPr>
            </w:pPr>
            <w:r w:rsidRPr="00FF229D">
              <w:rPr>
                <w:lang w:val="en-GB"/>
              </w:rPr>
              <w:t>Level 2 wage subsidy: $3,000 per FTE</w:t>
            </w:r>
          </w:p>
        </w:tc>
        <w:tc>
          <w:tcPr>
            <w:cnfStyle w:val="000001000000" w:firstRow="0" w:lastRow="0" w:firstColumn="0" w:lastColumn="0" w:oddVBand="0" w:evenVBand="1" w:oddHBand="0" w:evenHBand="0" w:firstRowFirstColumn="0" w:firstRowLastColumn="0" w:lastRowFirstColumn="0" w:lastRowLastColumn="0"/>
            <w:tcW w:w="3771" w:type="dxa"/>
          </w:tcPr>
          <w:p w14:paraId="03C23A74" w14:textId="77777777" w:rsidR="00FF229D" w:rsidRPr="00FF229D" w:rsidRDefault="00FF229D" w:rsidP="00502B76">
            <w:pPr>
              <w:pStyle w:val="TableBullet"/>
              <w:rPr>
                <w:lang w:val="en-GB"/>
              </w:rPr>
            </w:pPr>
            <w:r w:rsidRPr="00FF229D">
              <w:rPr>
                <w:lang w:val="en-GB"/>
              </w:rPr>
              <w:t>Payslips for all employees demonstrating 26 weeks of continuous employment</w:t>
            </w:r>
          </w:p>
          <w:p w14:paraId="4D492EF5" w14:textId="77777777" w:rsidR="00FF229D" w:rsidRPr="00FF229D" w:rsidRDefault="00FF229D" w:rsidP="00502B76">
            <w:pPr>
              <w:pStyle w:val="TableBullet"/>
              <w:rPr>
                <w:lang w:val="en-GB"/>
              </w:rPr>
            </w:pPr>
            <w:r w:rsidRPr="00FF229D">
              <w:rPr>
                <w:lang w:val="en-GB"/>
              </w:rPr>
              <w:t>Statutory declaration*</w:t>
            </w:r>
          </w:p>
        </w:tc>
      </w:tr>
      <w:tr w:rsidR="00FF229D" w:rsidRPr="00FF229D" w14:paraId="13320848" w14:textId="77777777" w:rsidTr="00502B7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247" w:type="dxa"/>
          </w:tcPr>
          <w:p w14:paraId="625AD736" w14:textId="77777777" w:rsidR="00FF229D" w:rsidRPr="00FF229D" w:rsidRDefault="00FF229D" w:rsidP="00297C38">
            <w:pPr>
              <w:pStyle w:val="TableCopy"/>
              <w:rPr>
                <w:lang w:val="en-GB"/>
              </w:rPr>
            </w:pPr>
            <w:r w:rsidRPr="00FF229D">
              <w:rPr>
                <w:lang w:val="en-GB"/>
              </w:rPr>
              <w:lastRenderedPageBreak/>
              <w:t>3</w:t>
            </w:r>
          </w:p>
        </w:tc>
        <w:tc>
          <w:tcPr>
            <w:cnfStyle w:val="000001000000" w:firstRow="0" w:lastRow="0" w:firstColumn="0" w:lastColumn="0" w:oddVBand="0" w:evenVBand="1" w:oddHBand="0" w:evenHBand="0" w:firstRowFirstColumn="0" w:firstRowLastColumn="0" w:lastRowFirstColumn="0" w:lastRowLastColumn="0"/>
            <w:tcW w:w="1701" w:type="dxa"/>
          </w:tcPr>
          <w:p w14:paraId="51FF258E" w14:textId="77777777" w:rsidR="00FF229D" w:rsidRPr="00FF229D" w:rsidRDefault="00FF229D" w:rsidP="00297C38">
            <w:pPr>
              <w:pStyle w:val="TableCopy"/>
              <w:rPr>
                <w:lang w:val="en-GB"/>
              </w:rPr>
            </w:pPr>
            <w:r w:rsidRPr="00FF229D">
              <w:rPr>
                <w:lang w:val="en-GB"/>
              </w:rPr>
              <w:t>At least 52 weeks of continuous employment</w:t>
            </w:r>
          </w:p>
        </w:tc>
        <w:tc>
          <w:tcPr>
            <w:cnfStyle w:val="000010000000" w:firstRow="0" w:lastRow="0" w:firstColumn="0" w:lastColumn="0" w:oddVBand="1" w:evenVBand="0" w:oddHBand="0" w:evenHBand="0" w:firstRowFirstColumn="0" w:firstRowLastColumn="0" w:lastRowFirstColumn="0" w:lastRowLastColumn="0"/>
            <w:tcW w:w="3771" w:type="dxa"/>
          </w:tcPr>
          <w:p w14:paraId="4450AADA" w14:textId="77777777" w:rsidR="00FF229D" w:rsidRPr="00FF229D" w:rsidRDefault="00FF229D" w:rsidP="00297C38">
            <w:pPr>
              <w:pStyle w:val="TableCopy"/>
              <w:rPr>
                <w:lang w:val="en-GB"/>
              </w:rPr>
            </w:pPr>
            <w:r w:rsidRPr="00FF229D">
              <w:rPr>
                <w:lang w:val="en-GB"/>
              </w:rPr>
              <w:t>Level 1 wage subsidy: $8,000 per FTE</w:t>
            </w:r>
          </w:p>
          <w:p w14:paraId="65B7471B" w14:textId="77777777" w:rsidR="00FF229D" w:rsidRPr="00FF229D" w:rsidRDefault="00FF229D" w:rsidP="00297C38">
            <w:pPr>
              <w:pStyle w:val="TableCopy"/>
              <w:rPr>
                <w:lang w:val="en-GB"/>
              </w:rPr>
            </w:pPr>
            <w:r w:rsidRPr="00FF229D">
              <w:rPr>
                <w:lang w:val="en-GB"/>
              </w:rPr>
              <w:t>Level 2 wage subsidy: $4,000 per FTE</w:t>
            </w:r>
          </w:p>
        </w:tc>
        <w:tc>
          <w:tcPr>
            <w:cnfStyle w:val="000001000000" w:firstRow="0" w:lastRow="0" w:firstColumn="0" w:lastColumn="0" w:oddVBand="0" w:evenVBand="1" w:oddHBand="0" w:evenHBand="0" w:firstRowFirstColumn="0" w:firstRowLastColumn="0" w:lastRowFirstColumn="0" w:lastRowLastColumn="0"/>
            <w:tcW w:w="3771" w:type="dxa"/>
          </w:tcPr>
          <w:p w14:paraId="432FD5D0" w14:textId="77777777" w:rsidR="00FF229D" w:rsidRPr="00FF229D" w:rsidRDefault="00FF229D" w:rsidP="00502B76">
            <w:pPr>
              <w:pStyle w:val="TableBullet"/>
              <w:rPr>
                <w:lang w:val="en-GB"/>
              </w:rPr>
            </w:pPr>
            <w:r w:rsidRPr="00FF229D">
              <w:rPr>
                <w:lang w:val="en-GB"/>
              </w:rPr>
              <w:t>Payslips for all employees demonstrating 52 weeks of continuous employment</w:t>
            </w:r>
          </w:p>
          <w:p w14:paraId="1D2A61D5" w14:textId="77777777" w:rsidR="00FF229D" w:rsidRPr="00FF229D" w:rsidRDefault="00FF229D" w:rsidP="00502B76">
            <w:pPr>
              <w:pStyle w:val="TableBullet"/>
              <w:rPr>
                <w:lang w:val="en-GB"/>
              </w:rPr>
            </w:pPr>
            <w:r w:rsidRPr="00FF229D">
              <w:rPr>
                <w:lang w:val="en-GB"/>
              </w:rPr>
              <w:t>Statutory declaration*</w:t>
            </w:r>
          </w:p>
          <w:p w14:paraId="7DF7F6FA" w14:textId="16EEDF9B" w:rsidR="00FF229D" w:rsidRPr="00FF229D" w:rsidRDefault="00FF229D" w:rsidP="00502B76">
            <w:pPr>
              <w:pStyle w:val="TableBullet"/>
              <w:rPr>
                <w:lang w:val="en-GB"/>
              </w:rPr>
            </w:pPr>
            <w:r w:rsidRPr="00FF229D">
              <w:rPr>
                <w:lang w:val="en-GB"/>
              </w:rPr>
              <w:t>Accounts showing acquittal of funds as per agreement</w:t>
            </w:r>
          </w:p>
          <w:p w14:paraId="2CCAC36A" w14:textId="6504FB46" w:rsidR="00FF229D" w:rsidRPr="00FF229D" w:rsidRDefault="00FF229D" w:rsidP="00502B76">
            <w:pPr>
              <w:pStyle w:val="TableBullet"/>
              <w:rPr>
                <w:lang w:val="en-GB"/>
              </w:rPr>
            </w:pPr>
            <w:r w:rsidRPr="00FF229D">
              <w:rPr>
                <w:lang w:val="en-GB"/>
              </w:rPr>
              <w:t>Final project outcome report</w:t>
            </w:r>
          </w:p>
          <w:p w14:paraId="79B7973D" w14:textId="77777777" w:rsidR="00FF229D" w:rsidRPr="00FF229D" w:rsidRDefault="00FF229D" w:rsidP="00502B76">
            <w:pPr>
              <w:pStyle w:val="TableBullet"/>
              <w:rPr>
                <w:lang w:val="en-GB"/>
              </w:rPr>
            </w:pPr>
            <w:r w:rsidRPr="00FF229D">
              <w:rPr>
                <w:lang w:val="en-GB"/>
              </w:rPr>
              <w:t>Audit opinion (where the value of the grant exceeds $100,000)</w:t>
            </w:r>
          </w:p>
        </w:tc>
      </w:tr>
    </w:tbl>
    <w:p w14:paraId="6BC1AE9F" w14:textId="4D4D11FD" w:rsidR="00FF229D" w:rsidRPr="00FF229D" w:rsidRDefault="00FF229D" w:rsidP="00FF229D">
      <w:pPr>
        <w:rPr>
          <w:lang w:val="en-GB"/>
        </w:rPr>
      </w:pPr>
      <w:r w:rsidRPr="00FF229D">
        <w:rPr>
          <w:lang w:val="en-GB"/>
        </w:rPr>
        <w:t xml:space="preserve">* Statutory declarations will attest to the employment of staff, occupational health and safety inductions, </w:t>
      </w:r>
      <w:r w:rsidRPr="00FF229D">
        <w:rPr>
          <w:lang w:val="en-GB"/>
        </w:rPr>
        <w:br/>
        <w:t>and compliance with relevant legislation and codes of conduct.</w:t>
      </w:r>
    </w:p>
    <w:p w14:paraId="5760FD8D" w14:textId="77777777" w:rsidR="00FF229D" w:rsidRPr="00FF229D" w:rsidRDefault="00FF229D" w:rsidP="00FF229D">
      <w:pPr>
        <w:rPr>
          <w:lang w:val="en-GB"/>
        </w:rPr>
      </w:pPr>
      <w:r w:rsidRPr="00FF229D">
        <w:rPr>
          <w:lang w:val="en-GB"/>
        </w:rPr>
        <w:t>Audit opinions will be required as part of the final milestone only where the value of the grant exceeds $100,000. The audit opinion must be provided in the Department’s template with no alterations. This template will form part of the Grant Agreement.</w:t>
      </w:r>
    </w:p>
    <w:p w14:paraId="3EEBFEAA" w14:textId="77777777" w:rsidR="00FF229D" w:rsidRPr="00FF229D" w:rsidRDefault="00FF229D" w:rsidP="00FF229D">
      <w:pPr>
        <w:rPr>
          <w:lang w:val="en-GB"/>
        </w:rPr>
      </w:pPr>
      <w:r w:rsidRPr="00FF229D">
        <w:rPr>
          <w:lang w:val="en-GB"/>
        </w:rPr>
        <w:t>The cost of acquiring an audit opinion for the acquittal of the funds is an acceptable use of the funding provided as part of the Grant Agreement.</w:t>
      </w:r>
    </w:p>
    <w:p w14:paraId="7E958BF5" w14:textId="13D8162E" w:rsidR="00FF229D" w:rsidRPr="00FF229D" w:rsidRDefault="00FF229D" w:rsidP="00FF229D">
      <w:pPr>
        <w:rPr>
          <w:lang w:val="en-GB"/>
        </w:rPr>
      </w:pPr>
      <w:r w:rsidRPr="00FF229D">
        <w:rPr>
          <w:lang w:val="en-GB"/>
        </w:rPr>
        <w:t xml:space="preserve">Employees must be continuously employed for 26 weeks by the time they reach Milestone 2 and 52 weeks by the time they reach Milestone 3. This will be treated as a hurdle requirement, and payment will not be made if this requirement is not met. </w:t>
      </w:r>
    </w:p>
    <w:p w14:paraId="4A272BCA" w14:textId="63D796A2" w:rsidR="00FF229D" w:rsidRPr="00FF229D" w:rsidRDefault="00FF229D" w:rsidP="00FF229D">
      <w:pPr>
        <w:rPr>
          <w:lang w:val="en-GB"/>
        </w:rPr>
      </w:pPr>
      <w:r w:rsidRPr="00FF229D">
        <w:rPr>
          <w:lang w:val="en-GB"/>
        </w:rPr>
        <w:t>If employees resign from their position or are terminated prior to a milestone date, wage subsidies will only be paid for employees who have met the minimum tenure requirements (</w:t>
      </w:r>
      <w:proofErr w:type="gramStart"/>
      <w:r w:rsidRPr="00FF229D">
        <w:rPr>
          <w:lang w:val="en-GB"/>
        </w:rPr>
        <w:t>i.e.</w:t>
      </w:r>
      <w:proofErr w:type="gramEnd"/>
      <w:r w:rsidRPr="00FF229D">
        <w:rPr>
          <w:lang w:val="en-GB"/>
        </w:rPr>
        <w:t xml:space="preserve"> continuous employment of 26 weeks or 52 weeks) with evidence to demonstrate this. Pro rata payments will not be available.</w:t>
      </w:r>
    </w:p>
    <w:p w14:paraId="5BC7D2E7" w14:textId="60BAC055" w:rsidR="00FF229D" w:rsidRPr="00FF229D" w:rsidRDefault="00FF229D" w:rsidP="00AC4303">
      <w:pPr>
        <w:pStyle w:val="Heading1"/>
        <w:numPr>
          <w:ilvl w:val="0"/>
          <w:numId w:val="3"/>
        </w:numPr>
        <w:rPr>
          <w:lang w:val="en-GB"/>
        </w:rPr>
      </w:pPr>
      <w:bookmarkStart w:id="21" w:name="_Toc67585374"/>
      <w:r w:rsidRPr="00FF229D">
        <w:rPr>
          <w:lang w:val="en-GB"/>
        </w:rPr>
        <w:t>Evidence requirements</w:t>
      </w:r>
      <w:bookmarkEnd w:id="21"/>
    </w:p>
    <w:p w14:paraId="1BF2BEB0" w14:textId="77777777" w:rsidR="00FF229D" w:rsidRPr="00FF229D" w:rsidRDefault="00FF229D" w:rsidP="00FF229D">
      <w:pPr>
        <w:rPr>
          <w:lang w:val="en-GB"/>
        </w:rPr>
      </w:pPr>
      <w:r w:rsidRPr="00FF229D">
        <w:rPr>
          <w:lang w:val="en-GB"/>
        </w:rPr>
        <w:t xml:space="preserve">Applicants are required to complete an online application form and provide evidence to substantiate their claims against the eligibility criteria as outlined below. </w:t>
      </w:r>
    </w:p>
    <w:p w14:paraId="4A8A2673" w14:textId="77777777" w:rsidR="00FF229D" w:rsidRPr="00FF229D" w:rsidRDefault="00FF229D" w:rsidP="00FF229D">
      <w:pPr>
        <w:rPr>
          <w:lang w:val="en-GB"/>
        </w:rPr>
      </w:pPr>
      <w:r w:rsidRPr="00FF229D">
        <w:rPr>
          <w:lang w:val="en-GB"/>
        </w:rPr>
        <w:t>All documents must be scanned online and be valid, current, legible and in a standard format (</w:t>
      </w:r>
      <w:proofErr w:type="gramStart"/>
      <w:r w:rsidRPr="00FF229D">
        <w:rPr>
          <w:lang w:val="en-GB"/>
        </w:rPr>
        <w:t>e.g.</w:t>
      </w:r>
      <w:proofErr w:type="gramEnd"/>
      <w:r w:rsidRPr="00FF229D">
        <w:rPr>
          <w:lang w:val="en-GB"/>
        </w:rPr>
        <w:t xml:space="preserve"> PDF, JPEG or Word). Some documentation is required to be certified.</w:t>
      </w:r>
    </w:p>
    <w:tbl>
      <w:tblPr>
        <w:tblStyle w:val="PlainTable2"/>
        <w:tblW w:w="10490" w:type="dxa"/>
        <w:tblLayout w:type="fixed"/>
        <w:tblLook w:val="0000" w:firstRow="0" w:lastRow="0" w:firstColumn="0" w:lastColumn="0" w:noHBand="0" w:noVBand="0"/>
      </w:tblPr>
      <w:tblGrid>
        <w:gridCol w:w="1191"/>
        <w:gridCol w:w="1247"/>
        <w:gridCol w:w="8052"/>
      </w:tblGrid>
      <w:tr w:rsidR="00FF229D" w:rsidRPr="00FF229D" w14:paraId="5EDF1671" w14:textId="77777777" w:rsidTr="004B4224">
        <w:trPr>
          <w:cantSplit/>
          <w:trHeight w:val="113"/>
          <w:tblHeader/>
        </w:trPr>
        <w:tc>
          <w:tcPr>
            <w:cnfStyle w:val="000010000000" w:firstRow="0" w:lastRow="0" w:firstColumn="0" w:lastColumn="0" w:oddVBand="1" w:evenVBand="0" w:oddHBand="0" w:evenHBand="0" w:firstRowFirstColumn="0" w:firstRowLastColumn="0" w:lastRowFirstColumn="0" w:lastRowLastColumn="0"/>
            <w:tcW w:w="1191" w:type="dxa"/>
            <w:tcBorders>
              <w:top w:val="single" w:sz="2" w:space="0" w:color="auto"/>
              <w:left w:val="single" w:sz="2" w:space="0" w:color="auto"/>
              <w:bottom w:val="single" w:sz="2" w:space="0" w:color="auto"/>
              <w:right w:val="single" w:sz="2" w:space="0" w:color="auto"/>
            </w:tcBorders>
          </w:tcPr>
          <w:p w14:paraId="30F1F2AE" w14:textId="77777777" w:rsidR="00FF229D" w:rsidRPr="00FF229D" w:rsidRDefault="00FF229D" w:rsidP="00AC4303">
            <w:pPr>
              <w:pStyle w:val="TableHeading"/>
              <w:rPr>
                <w:lang w:val="en-GB"/>
              </w:rPr>
            </w:pPr>
            <w:r w:rsidRPr="00FF229D">
              <w:rPr>
                <w:lang w:val="en-GB"/>
              </w:rPr>
              <w:lastRenderedPageBreak/>
              <w:t xml:space="preserve">Criteria </w:t>
            </w:r>
          </w:p>
        </w:tc>
        <w:tc>
          <w:tcPr>
            <w:cnfStyle w:val="000001000000" w:firstRow="0" w:lastRow="0" w:firstColumn="0" w:lastColumn="0" w:oddVBand="0" w:evenVBand="1" w:oddHBand="0" w:evenHBand="0" w:firstRowFirstColumn="0" w:firstRowLastColumn="0" w:lastRowFirstColumn="0" w:lastRowLastColumn="0"/>
            <w:tcW w:w="1247" w:type="dxa"/>
            <w:tcBorders>
              <w:top w:val="single" w:sz="2" w:space="0" w:color="auto"/>
              <w:left w:val="single" w:sz="2" w:space="0" w:color="auto"/>
              <w:bottom w:val="single" w:sz="2" w:space="0" w:color="auto"/>
              <w:right w:val="single" w:sz="2" w:space="0" w:color="auto"/>
            </w:tcBorders>
          </w:tcPr>
          <w:p w14:paraId="4CF7BC13" w14:textId="77777777" w:rsidR="00FF229D" w:rsidRPr="00FF229D" w:rsidRDefault="00FF229D" w:rsidP="00AC4303">
            <w:pPr>
              <w:pStyle w:val="TableHeading"/>
              <w:rPr>
                <w:lang w:val="en-GB"/>
              </w:rPr>
            </w:pPr>
            <w:r w:rsidRPr="00FF229D">
              <w:rPr>
                <w:lang w:val="en-GB"/>
              </w:rPr>
              <w:t xml:space="preserve">Guideline reference </w:t>
            </w:r>
          </w:p>
        </w:tc>
        <w:tc>
          <w:tcPr>
            <w:cnfStyle w:val="000010000000" w:firstRow="0" w:lastRow="0" w:firstColumn="0" w:lastColumn="0" w:oddVBand="1" w:evenVBand="0" w:oddHBand="0" w:evenHBand="0" w:firstRowFirstColumn="0" w:firstRowLastColumn="0" w:lastRowFirstColumn="0" w:lastRowLastColumn="0"/>
            <w:tcW w:w="8052" w:type="dxa"/>
            <w:tcBorders>
              <w:top w:val="single" w:sz="2" w:space="0" w:color="auto"/>
              <w:left w:val="single" w:sz="2" w:space="0" w:color="auto"/>
              <w:bottom w:val="single" w:sz="2" w:space="0" w:color="auto"/>
              <w:right w:val="single" w:sz="2" w:space="0" w:color="auto"/>
            </w:tcBorders>
          </w:tcPr>
          <w:p w14:paraId="56F70DF3" w14:textId="77777777" w:rsidR="00FF229D" w:rsidRPr="00FF229D" w:rsidRDefault="00FF229D" w:rsidP="00AC4303">
            <w:pPr>
              <w:pStyle w:val="TableHeading"/>
              <w:rPr>
                <w:lang w:val="en-GB"/>
              </w:rPr>
            </w:pPr>
            <w:r w:rsidRPr="00FF229D">
              <w:rPr>
                <w:lang w:val="en-GB"/>
              </w:rPr>
              <w:t>Evidence requirements</w:t>
            </w:r>
          </w:p>
        </w:tc>
      </w:tr>
      <w:tr w:rsidR="00FF229D" w:rsidRPr="00FF229D" w14:paraId="1D4F12E1" w14:textId="77777777" w:rsidTr="004B4224">
        <w:trPr>
          <w:cnfStyle w:val="000000100000" w:firstRow="0" w:lastRow="0" w:firstColumn="0" w:lastColumn="0" w:oddVBand="0" w:evenVBand="0" w:oddHBand="1" w:evenHBand="0" w:firstRowFirstColumn="0" w:firstRowLastColumn="0" w:lastRowFirstColumn="0" w:lastRowLastColumn="0"/>
          <w:cantSplit/>
          <w:trHeight w:val="686"/>
        </w:trPr>
        <w:tc>
          <w:tcPr>
            <w:cnfStyle w:val="000010000000" w:firstRow="0" w:lastRow="0" w:firstColumn="0" w:lastColumn="0" w:oddVBand="1" w:evenVBand="0" w:oddHBand="0" w:evenHBand="0" w:firstRowFirstColumn="0" w:firstRowLastColumn="0" w:lastRowFirstColumn="0" w:lastRowLastColumn="0"/>
            <w:tcW w:w="1191" w:type="dxa"/>
            <w:tcBorders>
              <w:top w:val="single" w:sz="2" w:space="0" w:color="auto"/>
            </w:tcBorders>
          </w:tcPr>
          <w:p w14:paraId="2F6CCDDC" w14:textId="77777777" w:rsidR="00FF229D" w:rsidRPr="00FF229D" w:rsidRDefault="00FF229D" w:rsidP="004732DA">
            <w:pPr>
              <w:pStyle w:val="TableCopy"/>
              <w:rPr>
                <w:lang w:val="en-GB"/>
              </w:rPr>
            </w:pPr>
            <w:r w:rsidRPr="00FF229D">
              <w:rPr>
                <w:lang w:val="en-GB"/>
              </w:rPr>
              <w:t>Applicant eligibility</w:t>
            </w:r>
          </w:p>
        </w:tc>
        <w:tc>
          <w:tcPr>
            <w:cnfStyle w:val="000001000000" w:firstRow="0" w:lastRow="0" w:firstColumn="0" w:lastColumn="0" w:oddVBand="0" w:evenVBand="1" w:oddHBand="0" w:evenHBand="0" w:firstRowFirstColumn="0" w:firstRowLastColumn="0" w:lastRowFirstColumn="0" w:lastRowLastColumn="0"/>
            <w:tcW w:w="1247" w:type="dxa"/>
            <w:tcBorders>
              <w:top w:val="single" w:sz="2" w:space="0" w:color="auto"/>
            </w:tcBorders>
          </w:tcPr>
          <w:p w14:paraId="7C223E78" w14:textId="36ACB54D" w:rsidR="00FF229D" w:rsidRPr="00FF229D" w:rsidRDefault="003C12A6" w:rsidP="004732DA">
            <w:pPr>
              <w:pStyle w:val="TableCopy"/>
              <w:rPr>
                <w:lang w:val="en-GB"/>
              </w:rPr>
            </w:pPr>
            <w:hyperlink w:anchor="_Criterion_A_–" w:history="1">
              <w:r w:rsidR="00FF229D" w:rsidRPr="00B2179D">
                <w:rPr>
                  <w:rStyle w:val="Hyperlink"/>
                  <w:lang w:val="en-GB"/>
                </w:rPr>
                <w:t>Section 3.1</w:t>
              </w:r>
            </w:hyperlink>
            <w:r w:rsidR="00FF229D" w:rsidRPr="00FF229D">
              <w:rPr>
                <w:lang w:val="en-GB"/>
              </w:rPr>
              <w:t xml:space="preserve"> </w:t>
            </w:r>
          </w:p>
        </w:tc>
        <w:tc>
          <w:tcPr>
            <w:cnfStyle w:val="000010000000" w:firstRow="0" w:lastRow="0" w:firstColumn="0" w:lastColumn="0" w:oddVBand="1" w:evenVBand="0" w:oddHBand="0" w:evenHBand="0" w:firstRowFirstColumn="0" w:firstRowLastColumn="0" w:lastRowFirstColumn="0" w:lastRowLastColumn="0"/>
            <w:tcW w:w="8052" w:type="dxa"/>
            <w:tcBorders>
              <w:top w:val="single" w:sz="2" w:space="0" w:color="auto"/>
            </w:tcBorders>
          </w:tcPr>
          <w:p w14:paraId="48C381B9" w14:textId="0C533CD6" w:rsidR="00FF229D" w:rsidRPr="00FF229D" w:rsidRDefault="00CB677C" w:rsidP="004732DA">
            <w:pPr>
              <w:pStyle w:val="TableCopy"/>
              <w:rPr>
                <w:lang w:val="en-GB"/>
              </w:rPr>
            </w:pPr>
            <w:r>
              <w:rPr>
                <w:lang w:val="en-GB"/>
              </w:rPr>
              <w:fldChar w:fldCharType="begin">
                <w:ffData>
                  <w:name w:val="Check1"/>
                  <w:enabled/>
                  <w:calcOnExit w:val="0"/>
                  <w:checkBox>
                    <w:sizeAuto/>
                    <w:default w:val="0"/>
                  </w:checkBox>
                </w:ffData>
              </w:fldChar>
            </w:r>
            <w:bookmarkStart w:id="22" w:name="Check1"/>
            <w:r>
              <w:rPr>
                <w:lang w:val="en-GB"/>
              </w:rPr>
              <w:instrText xml:space="preserve"> FORMCHECKBOX </w:instrText>
            </w:r>
            <w:r w:rsidR="003C12A6">
              <w:rPr>
                <w:lang w:val="en-GB"/>
              </w:rPr>
            </w:r>
            <w:r w:rsidR="003C12A6">
              <w:rPr>
                <w:lang w:val="en-GB"/>
              </w:rPr>
              <w:fldChar w:fldCharType="separate"/>
            </w:r>
            <w:r>
              <w:rPr>
                <w:lang w:val="en-GB"/>
              </w:rPr>
              <w:fldChar w:fldCharType="end"/>
            </w:r>
            <w:bookmarkEnd w:id="22"/>
            <w:r>
              <w:rPr>
                <w:lang w:val="en-GB"/>
              </w:rPr>
              <w:t xml:space="preserve"> </w:t>
            </w:r>
            <w:proofErr w:type="spellStart"/>
            <w:r w:rsidR="00FF229D" w:rsidRPr="00FF229D">
              <w:rPr>
                <w:lang w:val="en-GB"/>
              </w:rPr>
              <w:t>WorkCover</w:t>
            </w:r>
            <w:proofErr w:type="spellEnd"/>
            <w:r w:rsidR="00FF229D" w:rsidRPr="00FF229D">
              <w:rPr>
                <w:lang w:val="en-GB"/>
              </w:rPr>
              <w:t xml:space="preserve"> Employer Number and </w:t>
            </w:r>
            <w:proofErr w:type="spellStart"/>
            <w:r w:rsidR="00FF229D" w:rsidRPr="00FF229D">
              <w:rPr>
                <w:lang w:val="en-GB"/>
              </w:rPr>
              <w:t>WorkCover</w:t>
            </w:r>
            <w:proofErr w:type="spellEnd"/>
            <w:r w:rsidR="00FF229D" w:rsidRPr="00FF229D">
              <w:rPr>
                <w:lang w:val="en-GB"/>
              </w:rPr>
              <w:t xml:space="preserve"> insurance Certificate of Currency (must be attached to application)</w:t>
            </w:r>
          </w:p>
          <w:p w14:paraId="0F546110" w14:textId="55B99967" w:rsidR="00FF229D" w:rsidRPr="00FF229D" w:rsidRDefault="004035E0" w:rsidP="004732DA">
            <w:pPr>
              <w:pStyle w:val="TableCopy"/>
              <w:rPr>
                <w:lang w:val="en-GB"/>
              </w:rPr>
            </w:pPr>
            <w:r>
              <w:rPr>
                <w:lang w:val="en-GB"/>
              </w:rPr>
              <w:fldChar w:fldCharType="begin">
                <w:ffData>
                  <w:name w:val="Check2"/>
                  <w:enabled/>
                  <w:calcOnExit w:val="0"/>
                  <w:checkBox>
                    <w:sizeAuto/>
                    <w:default w:val="0"/>
                  </w:checkBox>
                </w:ffData>
              </w:fldChar>
            </w:r>
            <w:bookmarkStart w:id="23" w:name="Check2"/>
            <w:r>
              <w:rPr>
                <w:lang w:val="en-GB"/>
              </w:rPr>
              <w:instrText xml:space="preserve"> FORMCHECKBOX </w:instrText>
            </w:r>
            <w:r w:rsidR="003C12A6">
              <w:rPr>
                <w:lang w:val="en-GB"/>
              </w:rPr>
            </w:r>
            <w:r w:rsidR="003C12A6">
              <w:rPr>
                <w:lang w:val="en-GB"/>
              </w:rPr>
              <w:fldChar w:fldCharType="separate"/>
            </w:r>
            <w:r>
              <w:rPr>
                <w:lang w:val="en-GB"/>
              </w:rPr>
              <w:fldChar w:fldCharType="end"/>
            </w:r>
            <w:bookmarkEnd w:id="23"/>
            <w:r>
              <w:rPr>
                <w:lang w:val="en-GB"/>
              </w:rPr>
              <w:t xml:space="preserve"> </w:t>
            </w:r>
            <w:r w:rsidR="00FF229D" w:rsidRPr="00FF229D">
              <w:rPr>
                <w:lang w:val="en-GB"/>
              </w:rPr>
              <w:t xml:space="preserve">Australian Business Number (ABN) and Australian Company Number (ACN) (if applicable) </w:t>
            </w:r>
          </w:p>
          <w:p w14:paraId="331C67E6" w14:textId="73C254CF" w:rsidR="00FF229D" w:rsidRPr="00FF229D" w:rsidRDefault="004035E0" w:rsidP="004732DA">
            <w:pPr>
              <w:pStyle w:val="TableCopy"/>
              <w:rPr>
                <w:lang w:val="en-GB"/>
              </w:rPr>
            </w:pPr>
            <w:r>
              <w:rPr>
                <w:lang w:val="en-GB"/>
              </w:rPr>
              <w:fldChar w:fldCharType="begin">
                <w:ffData>
                  <w:name w:val="Check3"/>
                  <w:enabled/>
                  <w:calcOnExit w:val="0"/>
                  <w:checkBox>
                    <w:sizeAuto/>
                    <w:default w:val="0"/>
                  </w:checkBox>
                </w:ffData>
              </w:fldChar>
            </w:r>
            <w:bookmarkStart w:id="24" w:name="Check3"/>
            <w:r>
              <w:rPr>
                <w:lang w:val="en-GB"/>
              </w:rPr>
              <w:instrText xml:space="preserve"> FORMCHECKBOX </w:instrText>
            </w:r>
            <w:r w:rsidR="003C12A6">
              <w:rPr>
                <w:lang w:val="en-GB"/>
              </w:rPr>
            </w:r>
            <w:r w:rsidR="003C12A6">
              <w:rPr>
                <w:lang w:val="en-GB"/>
              </w:rPr>
              <w:fldChar w:fldCharType="separate"/>
            </w:r>
            <w:r>
              <w:rPr>
                <w:lang w:val="en-GB"/>
              </w:rPr>
              <w:fldChar w:fldCharType="end"/>
            </w:r>
            <w:bookmarkEnd w:id="24"/>
            <w:r>
              <w:rPr>
                <w:lang w:val="en-GB"/>
              </w:rPr>
              <w:t xml:space="preserve"> </w:t>
            </w:r>
            <w:r w:rsidR="00FF229D" w:rsidRPr="00FF229D">
              <w:rPr>
                <w:lang w:val="en-GB"/>
              </w:rPr>
              <w:t>Organisation’s address in Victoria</w:t>
            </w:r>
          </w:p>
          <w:p w14:paraId="63CAA829" w14:textId="124DDE04" w:rsidR="00FF229D" w:rsidRPr="00FF229D" w:rsidRDefault="004035E0" w:rsidP="004732DA">
            <w:pPr>
              <w:pStyle w:val="TableCopy"/>
              <w:rPr>
                <w:lang w:val="en-GB"/>
              </w:rPr>
            </w:pPr>
            <w:r>
              <w:rPr>
                <w:lang w:val="en-GB"/>
              </w:rPr>
              <w:fldChar w:fldCharType="begin">
                <w:ffData>
                  <w:name w:val="Check4"/>
                  <w:enabled/>
                  <w:calcOnExit w:val="0"/>
                  <w:checkBox>
                    <w:sizeAuto/>
                    <w:default w:val="0"/>
                  </w:checkBox>
                </w:ffData>
              </w:fldChar>
            </w:r>
            <w:bookmarkStart w:id="25" w:name="Check4"/>
            <w:r>
              <w:rPr>
                <w:lang w:val="en-GB"/>
              </w:rPr>
              <w:instrText xml:space="preserve"> FORMCHECKBOX </w:instrText>
            </w:r>
            <w:r w:rsidR="003C12A6">
              <w:rPr>
                <w:lang w:val="en-GB"/>
              </w:rPr>
            </w:r>
            <w:r w:rsidR="003C12A6">
              <w:rPr>
                <w:lang w:val="en-GB"/>
              </w:rPr>
              <w:fldChar w:fldCharType="separate"/>
            </w:r>
            <w:r>
              <w:rPr>
                <w:lang w:val="en-GB"/>
              </w:rPr>
              <w:fldChar w:fldCharType="end"/>
            </w:r>
            <w:bookmarkEnd w:id="25"/>
            <w:r>
              <w:rPr>
                <w:lang w:val="en-GB"/>
              </w:rPr>
              <w:t xml:space="preserve"> </w:t>
            </w:r>
            <w:r w:rsidR="00FF229D" w:rsidRPr="00FF229D">
              <w:rPr>
                <w:i/>
                <w:iCs/>
                <w:lang w:val="en-GB"/>
              </w:rPr>
              <w:t>For labour hire providers only</w:t>
            </w:r>
            <w:r w:rsidR="00FF229D" w:rsidRPr="00FF229D">
              <w:rPr>
                <w:lang w:val="en-GB"/>
              </w:rPr>
              <w:t>: confirmation that you have a Victorian Labour Hire Authority licence</w:t>
            </w:r>
          </w:p>
          <w:p w14:paraId="70A22347" w14:textId="21F89E9A" w:rsidR="00FF229D" w:rsidRPr="00FF229D" w:rsidRDefault="00640161" w:rsidP="004732DA">
            <w:pPr>
              <w:pStyle w:val="TableCopy"/>
              <w:rPr>
                <w:lang w:val="en-GB"/>
              </w:rPr>
            </w:pPr>
            <w:r>
              <w:rPr>
                <w:lang w:val="en-GB"/>
              </w:rPr>
              <w:fldChar w:fldCharType="begin">
                <w:ffData>
                  <w:name w:val="Check5"/>
                  <w:enabled/>
                  <w:calcOnExit w:val="0"/>
                  <w:checkBox>
                    <w:sizeAuto/>
                    <w:default w:val="0"/>
                  </w:checkBox>
                </w:ffData>
              </w:fldChar>
            </w:r>
            <w:bookmarkStart w:id="26" w:name="Check5"/>
            <w:r>
              <w:rPr>
                <w:lang w:val="en-GB"/>
              </w:rPr>
              <w:instrText xml:space="preserve"> FORMCHECKBOX </w:instrText>
            </w:r>
            <w:r w:rsidR="003C12A6">
              <w:rPr>
                <w:lang w:val="en-GB"/>
              </w:rPr>
            </w:r>
            <w:r w:rsidR="003C12A6">
              <w:rPr>
                <w:lang w:val="en-GB"/>
              </w:rPr>
              <w:fldChar w:fldCharType="separate"/>
            </w:r>
            <w:r>
              <w:rPr>
                <w:lang w:val="en-GB"/>
              </w:rPr>
              <w:fldChar w:fldCharType="end"/>
            </w:r>
            <w:bookmarkEnd w:id="26"/>
            <w:r>
              <w:rPr>
                <w:lang w:val="en-GB"/>
              </w:rPr>
              <w:t xml:space="preserve"> </w:t>
            </w:r>
            <w:r w:rsidR="00FF229D" w:rsidRPr="00FF229D">
              <w:rPr>
                <w:i/>
                <w:iCs/>
                <w:lang w:val="en-GB"/>
              </w:rPr>
              <w:t>For charitable and not-for-profit organisations only</w:t>
            </w:r>
            <w:r w:rsidR="00FF229D" w:rsidRPr="00FF229D">
              <w:rPr>
                <w:lang w:val="en-GB"/>
              </w:rPr>
              <w:t>: confirmation your organisation is registered with the ACNC</w:t>
            </w:r>
          </w:p>
          <w:p w14:paraId="17305AB3" w14:textId="001ECEA9" w:rsidR="00FF229D" w:rsidRPr="00FF229D" w:rsidRDefault="005751C6" w:rsidP="004732DA">
            <w:pPr>
              <w:pStyle w:val="TableCopy"/>
              <w:rPr>
                <w:lang w:val="en-GB"/>
              </w:rPr>
            </w:pPr>
            <w:r>
              <w:rPr>
                <w:lang w:val="en-GB"/>
              </w:rPr>
              <w:fldChar w:fldCharType="begin">
                <w:ffData>
                  <w:name w:val="Check6"/>
                  <w:enabled/>
                  <w:calcOnExit w:val="0"/>
                  <w:checkBox>
                    <w:sizeAuto/>
                    <w:default w:val="0"/>
                  </w:checkBox>
                </w:ffData>
              </w:fldChar>
            </w:r>
            <w:bookmarkStart w:id="27" w:name="Check6"/>
            <w:r>
              <w:rPr>
                <w:lang w:val="en-GB"/>
              </w:rPr>
              <w:instrText xml:space="preserve"> FORMCHECKBOX </w:instrText>
            </w:r>
            <w:r w:rsidR="003C12A6">
              <w:rPr>
                <w:lang w:val="en-GB"/>
              </w:rPr>
            </w:r>
            <w:r w:rsidR="003C12A6">
              <w:rPr>
                <w:lang w:val="en-GB"/>
              </w:rPr>
              <w:fldChar w:fldCharType="separate"/>
            </w:r>
            <w:r>
              <w:rPr>
                <w:lang w:val="en-GB"/>
              </w:rPr>
              <w:fldChar w:fldCharType="end"/>
            </w:r>
            <w:bookmarkEnd w:id="27"/>
            <w:r>
              <w:rPr>
                <w:lang w:val="en-GB"/>
              </w:rPr>
              <w:t xml:space="preserve"> </w:t>
            </w:r>
            <w:r w:rsidR="00FF229D" w:rsidRPr="00FF229D">
              <w:rPr>
                <w:i/>
                <w:iCs/>
                <w:lang w:val="en-GB"/>
              </w:rPr>
              <w:t>For Aboriginal businesses only</w:t>
            </w:r>
            <w:r w:rsidR="00FF229D" w:rsidRPr="00FF229D">
              <w:rPr>
                <w:lang w:val="en-GB"/>
              </w:rPr>
              <w:t xml:space="preserve">: confirmation your business is registered with the </w:t>
            </w:r>
            <w:proofErr w:type="spellStart"/>
            <w:r w:rsidR="00FF229D" w:rsidRPr="00FF229D">
              <w:rPr>
                <w:lang w:val="en-GB"/>
              </w:rPr>
              <w:t>Kinaway</w:t>
            </w:r>
            <w:proofErr w:type="spellEnd"/>
            <w:r w:rsidR="00FF229D" w:rsidRPr="00FF229D">
              <w:rPr>
                <w:lang w:val="en-GB"/>
              </w:rPr>
              <w:t xml:space="preserve"> Chamber of Commerce </w:t>
            </w:r>
          </w:p>
          <w:p w14:paraId="35143AE7" w14:textId="5D35DC29" w:rsidR="00FF229D" w:rsidRPr="00FF229D" w:rsidRDefault="005751C6" w:rsidP="004732DA">
            <w:pPr>
              <w:pStyle w:val="TableCopy"/>
              <w:rPr>
                <w:lang w:val="en-GB"/>
              </w:rPr>
            </w:pPr>
            <w:r>
              <w:rPr>
                <w:lang w:val="en-GB"/>
              </w:rPr>
              <w:fldChar w:fldCharType="begin">
                <w:ffData>
                  <w:name w:val="Check7"/>
                  <w:enabled/>
                  <w:calcOnExit w:val="0"/>
                  <w:checkBox>
                    <w:sizeAuto/>
                    <w:default w:val="0"/>
                  </w:checkBox>
                </w:ffData>
              </w:fldChar>
            </w:r>
            <w:bookmarkStart w:id="28" w:name="Check7"/>
            <w:r>
              <w:rPr>
                <w:lang w:val="en-GB"/>
              </w:rPr>
              <w:instrText xml:space="preserve"> FORMCHECKBOX </w:instrText>
            </w:r>
            <w:r w:rsidR="003C12A6">
              <w:rPr>
                <w:lang w:val="en-GB"/>
              </w:rPr>
            </w:r>
            <w:r w:rsidR="003C12A6">
              <w:rPr>
                <w:lang w:val="en-GB"/>
              </w:rPr>
              <w:fldChar w:fldCharType="separate"/>
            </w:r>
            <w:r>
              <w:rPr>
                <w:lang w:val="en-GB"/>
              </w:rPr>
              <w:fldChar w:fldCharType="end"/>
            </w:r>
            <w:bookmarkEnd w:id="28"/>
            <w:r w:rsidR="00A93EEA">
              <w:rPr>
                <w:lang w:val="en-GB"/>
              </w:rPr>
              <w:t xml:space="preserve"> </w:t>
            </w:r>
            <w:r w:rsidR="00FF229D" w:rsidRPr="00FF229D">
              <w:rPr>
                <w:lang w:val="en-GB"/>
              </w:rPr>
              <w:t>Certificates of Currency for relevant insurances including public liability (must be attached to application)</w:t>
            </w:r>
          </w:p>
          <w:p w14:paraId="64247A65" w14:textId="4E901B13" w:rsidR="00FF229D" w:rsidRPr="00FF229D" w:rsidRDefault="00D37FBF" w:rsidP="004732DA">
            <w:pPr>
              <w:pStyle w:val="TableCopy"/>
              <w:rPr>
                <w:lang w:val="en-GB"/>
              </w:rPr>
            </w:pPr>
            <w:r>
              <w:rPr>
                <w:lang w:val="en-GB"/>
              </w:rPr>
              <w:fldChar w:fldCharType="begin">
                <w:ffData>
                  <w:name w:val="Check8"/>
                  <w:enabled/>
                  <w:calcOnExit w:val="0"/>
                  <w:checkBox>
                    <w:sizeAuto/>
                    <w:default w:val="0"/>
                  </w:checkBox>
                </w:ffData>
              </w:fldChar>
            </w:r>
            <w:bookmarkStart w:id="29" w:name="Check8"/>
            <w:r>
              <w:rPr>
                <w:lang w:val="en-GB"/>
              </w:rPr>
              <w:instrText xml:space="preserve"> FORMCHECKBOX </w:instrText>
            </w:r>
            <w:r w:rsidR="003C12A6">
              <w:rPr>
                <w:lang w:val="en-GB"/>
              </w:rPr>
            </w:r>
            <w:r w:rsidR="003C12A6">
              <w:rPr>
                <w:lang w:val="en-GB"/>
              </w:rPr>
              <w:fldChar w:fldCharType="separate"/>
            </w:r>
            <w:r>
              <w:rPr>
                <w:lang w:val="en-GB"/>
              </w:rPr>
              <w:fldChar w:fldCharType="end"/>
            </w:r>
            <w:bookmarkEnd w:id="29"/>
            <w:r>
              <w:rPr>
                <w:lang w:val="en-GB"/>
              </w:rPr>
              <w:t xml:space="preserve"> </w:t>
            </w:r>
            <w:r w:rsidR="00FF229D" w:rsidRPr="00FF229D">
              <w:rPr>
                <w:lang w:val="en-GB"/>
              </w:rPr>
              <w:t>Confirmation the applicant is aware of its responsibilities as an employer</w:t>
            </w:r>
          </w:p>
          <w:p w14:paraId="667863A8" w14:textId="34B4E158" w:rsidR="00FF229D" w:rsidRPr="00FF229D" w:rsidRDefault="00B16097" w:rsidP="004732DA">
            <w:pPr>
              <w:pStyle w:val="TableCopy"/>
              <w:rPr>
                <w:lang w:val="en-GB"/>
              </w:rPr>
            </w:pPr>
            <w:r>
              <w:rPr>
                <w:lang w:val="en-GB"/>
              </w:rPr>
              <w:fldChar w:fldCharType="begin">
                <w:ffData>
                  <w:name w:val="Check9"/>
                  <w:enabled/>
                  <w:calcOnExit w:val="0"/>
                  <w:checkBox>
                    <w:sizeAuto/>
                    <w:default w:val="0"/>
                  </w:checkBox>
                </w:ffData>
              </w:fldChar>
            </w:r>
            <w:bookmarkStart w:id="30" w:name="Check9"/>
            <w:r>
              <w:rPr>
                <w:lang w:val="en-GB"/>
              </w:rPr>
              <w:instrText xml:space="preserve"> FORMCHECKBOX </w:instrText>
            </w:r>
            <w:r w:rsidR="003C12A6">
              <w:rPr>
                <w:lang w:val="en-GB"/>
              </w:rPr>
            </w:r>
            <w:r w:rsidR="003C12A6">
              <w:rPr>
                <w:lang w:val="en-GB"/>
              </w:rPr>
              <w:fldChar w:fldCharType="separate"/>
            </w:r>
            <w:r>
              <w:rPr>
                <w:lang w:val="en-GB"/>
              </w:rPr>
              <w:fldChar w:fldCharType="end"/>
            </w:r>
            <w:bookmarkEnd w:id="30"/>
            <w:r>
              <w:rPr>
                <w:lang w:val="en-GB"/>
              </w:rPr>
              <w:t xml:space="preserve"> </w:t>
            </w:r>
            <w:r w:rsidR="00FF229D" w:rsidRPr="00FF229D">
              <w:rPr>
                <w:lang w:val="en-GB"/>
              </w:rPr>
              <w:t>The Authorised Representative completing the application must provide a certified copy of an approved identification document. An approved identification document is one of the following:</w:t>
            </w:r>
          </w:p>
          <w:p w14:paraId="3394249C" w14:textId="77777777" w:rsidR="00FF229D" w:rsidRPr="00B16097" w:rsidRDefault="00FF229D" w:rsidP="00B16097">
            <w:pPr>
              <w:pStyle w:val="TableBullet"/>
            </w:pPr>
            <w:r w:rsidRPr="00B16097">
              <w:t>Australian or international passport</w:t>
            </w:r>
          </w:p>
          <w:p w14:paraId="554D42D2" w14:textId="77777777" w:rsidR="00FF229D" w:rsidRPr="00B16097" w:rsidRDefault="00FF229D" w:rsidP="00B16097">
            <w:pPr>
              <w:pStyle w:val="TableBullet"/>
            </w:pPr>
            <w:r w:rsidRPr="00B16097">
              <w:t>Australian visa</w:t>
            </w:r>
          </w:p>
          <w:p w14:paraId="10095D71" w14:textId="77777777" w:rsidR="00FF229D" w:rsidRPr="00B16097" w:rsidRDefault="00FF229D" w:rsidP="00B16097">
            <w:pPr>
              <w:pStyle w:val="TableBullet"/>
            </w:pPr>
            <w:r w:rsidRPr="00B16097">
              <w:t xml:space="preserve">Australian driver </w:t>
            </w:r>
            <w:proofErr w:type="spellStart"/>
            <w:r w:rsidRPr="00B16097">
              <w:t>licence</w:t>
            </w:r>
            <w:proofErr w:type="spellEnd"/>
          </w:p>
          <w:p w14:paraId="525261C9" w14:textId="77777777" w:rsidR="00FF229D" w:rsidRPr="00B16097" w:rsidRDefault="00FF229D" w:rsidP="00B16097">
            <w:pPr>
              <w:pStyle w:val="TableBullet"/>
            </w:pPr>
            <w:proofErr w:type="spellStart"/>
            <w:r w:rsidRPr="00B16097">
              <w:t>ImmiCard</w:t>
            </w:r>
            <w:proofErr w:type="spellEnd"/>
          </w:p>
          <w:p w14:paraId="3D7E3C87" w14:textId="77777777" w:rsidR="00FF229D" w:rsidRPr="00B16097" w:rsidRDefault="00FF229D" w:rsidP="00B16097">
            <w:pPr>
              <w:pStyle w:val="TableBullet"/>
            </w:pPr>
            <w:r w:rsidRPr="00B16097">
              <w:t>Medicare card</w:t>
            </w:r>
          </w:p>
          <w:p w14:paraId="2EE4DF16" w14:textId="77777777" w:rsidR="00FF229D" w:rsidRPr="00FF229D" w:rsidRDefault="00FF229D" w:rsidP="00B16097">
            <w:pPr>
              <w:pStyle w:val="TableBullet"/>
              <w:rPr>
                <w:lang w:val="en-GB"/>
              </w:rPr>
            </w:pPr>
            <w:r w:rsidRPr="00B16097">
              <w:t>Pensioner</w:t>
            </w:r>
            <w:r w:rsidRPr="00FF229D">
              <w:rPr>
                <w:lang w:val="en-GB"/>
              </w:rPr>
              <w:t xml:space="preserve"> concession card</w:t>
            </w:r>
          </w:p>
        </w:tc>
      </w:tr>
      <w:tr w:rsidR="00FF229D" w:rsidRPr="00FF229D" w14:paraId="25353762" w14:textId="77777777" w:rsidTr="00AC4303">
        <w:trPr>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7D940AF1" w14:textId="77777777" w:rsidR="00FF229D" w:rsidRPr="00FF229D" w:rsidRDefault="00FF229D" w:rsidP="004732DA">
            <w:pPr>
              <w:pStyle w:val="TableCopy"/>
              <w:rPr>
                <w:lang w:val="en-GB"/>
              </w:rPr>
            </w:pPr>
            <w:r w:rsidRPr="00FF229D">
              <w:rPr>
                <w:lang w:val="en-GB"/>
              </w:rPr>
              <w:t>Employee eligibility</w:t>
            </w:r>
          </w:p>
        </w:tc>
        <w:tc>
          <w:tcPr>
            <w:cnfStyle w:val="000001000000" w:firstRow="0" w:lastRow="0" w:firstColumn="0" w:lastColumn="0" w:oddVBand="0" w:evenVBand="1" w:oddHBand="0" w:evenHBand="0" w:firstRowFirstColumn="0" w:firstRowLastColumn="0" w:lastRowFirstColumn="0" w:lastRowLastColumn="0"/>
            <w:tcW w:w="1247" w:type="dxa"/>
          </w:tcPr>
          <w:p w14:paraId="3374AB26" w14:textId="0774FEE2" w:rsidR="00FF229D" w:rsidRPr="00FF229D" w:rsidRDefault="003C12A6" w:rsidP="004732DA">
            <w:pPr>
              <w:pStyle w:val="TableCopy"/>
              <w:rPr>
                <w:lang w:val="en-GB"/>
              </w:rPr>
            </w:pPr>
            <w:hyperlink w:anchor="_Criterion_B_–" w:history="1">
              <w:r w:rsidR="00FF229D" w:rsidRPr="00B2179D">
                <w:rPr>
                  <w:rStyle w:val="Hyperlink"/>
                  <w:lang w:val="en-GB"/>
                </w:rPr>
                <w:t>Section 3.2</w:t>
              </w:r>
            </w:hyperlink>
            <w:r w:rsidR="00FF229D" w:rsidRPr="00FF229D">
              <w:rPr>
                <w:lang w:val="en-GB"/>
              </w:rPr>
              <w:t xml:space="preserve"> </w:t>
            </w:r>
          </w:p>
        </w:tc>
        <w:tc>
          <w:tcPr>
            <w:cnfStyle w:val="000010000000" w:firstRow="0" w:lastRow="0" w:firstColumn="0" w:lastColumn="0" w:oddVBand="1" w:evenVBand="0" w:oddHBand="0" w:evenHBand="0" w:firstRowFirstColumn="0" w:firstRowLastColumn="0" w:lastRowFirstColumn="0" w:lastRowLastColumn="0"/>
            <w:tcW w:w="8052" w:type="dxa"/>
          </w:tcPr>
          <w:p w14:paraId="1DD6A45A" w14:textId="51E76180" w:rsidR="00FF229D" w:rsidRPr="00FF229D" w:rsidRDefault="007A2809" w:rsidP="004732DA">
            <w:pPr>
              <w:pStyle w:val="TableCopy"/>
              <w:rPr>
                <w:lang w:val="en-GB"/>
              </w:rPr>
            </w:pPr>
            <w:r>
              <w:rPr>
                <w:lang w:val="en-GB"/>
              </w:rPr>
              <w:fldChar w:fldCharType="begin">
                <w:ffData>
                  <w:name w:val="Check10"/>
                  <w:enabled/>
                  <w:calcOnExit w:val="0"/>
                  <w:checkBox>
                    <w:sizeAuto/>
                    <w:default w:val="0"/>
                  </w:checkBox>
                </w:ffData>
              </w:fldChar>
            </w:r>
            <w:bookmarkStart w:id="31" w:name="Check10"/>
            <w:r>
              <w:rPr>
                <w:lang w:val="en-GB"/>
              </w:rPr>
              <w:instrText xml:space="preserve"> FORMCHECKBOX </w:instrText>
            </w:r>
            <w:r w:rsidR="003C12A6">
              <w:rPr>
                <w:lang w:val="en-GB"/>
              </w:rPr>
            </w:r>
            <w:r w:rsidR="003C12A6">
              <w:rPr>
                <w:lang w:val="en-GB"/>
              </w:rPr>
              <w:fldChar w:fldCharType="separate"/>
            </w:r>
            <w:r>
              <w:rPr>
                <w:lang w:val="en-GB"/>
              </w:rPr>
              <w:fldChar w:fldCharType="end"/>
            </w:r>
            <w:bookmarkEnd w:id="31"/>
            <w:r>
              <w:rPr>
                <w:lang w:val="en-GB"/>
              </w:rPr>
              <w:t xml:space="preserve"> </w:t>
            </w:r>
            <w:r w:rsidR="00FF229D" w:rsidRPr="00FF229D">
              <w:rPr>
                <w:lang w:val="en-GB"/>
              </w:rPr>
              <w:t xml:space="preserve">Employee Consent Form signed by each employee (must be attached to application) confirming: </w:t>
            </w:r>
          </w:p>
          <w:p w14:paraId="4E6BD87A" w14:textId="0BB819EE" w:rsidR="00FF229D" w:rsidRPr="00FF229D" w:rsidRDefault="00FF229D" w:rsidP="00CA6C8F">
            <w:pPr>
              <w:pStyle w:val="TableBullet"/>
              <w:rPr>
                <w:lang w:val="en-GB"/>
              </w:rPr>
            </w:pPr>
            <w:r w:rsidRPr="00FF229D">
              <w:rPr>
                <w:lang w:val="en-GB"/>
              </w:rPr>
              <w:t xml:space="preserve">the employee’s identity (supporting evidence must be attached) </w:t>
            </w:r>
          </w:p>
          <w:p w14:paraId="1A5C9A9D" w14:textId="30C784EC" w:rsidR="00FF229D" w:rsidRPr="00FF229D" w:rsidRDefault="00FF229D" w:rsidP="00CA6C8F">
            <w:pPr>
              <w:pStyle w:val="TableBullet"/>
              <w:rPr>
                <w:lang w:val="en-GB"/>
              </w:rPr>
            </w:pPr>
            <w:r w:rsidRPr="00FF229D">
              <w:rPr>
                <w:lang w:val="en-GB"/>
              </w:rPr>
              <w:t>the employee’s working arrangements (</w:t>
            </w:r>
            <w:proofErr w:type="gramStart"/>
            <w:r w:rsidRPr="00FF229D">
              <w:rPr>
                <w:lang w:val="en-GB"/>
              </w:rPr>
              <w:t>i.e.</w:t>
            </w:r>
            <w:proofErr w:type="gramEnd"/>
            <w:r w:rsidRPr="00FF229D">
              <w:rPr>
                <w:lang w:val="en-GB"/>
              </w:rPr>
              <w:t xml:space="preserve"> number of hours per week)</w:t>
            </w:r>
          </w:p>
          <w:p w14:paraId="6DA427CA" w14:textId="77777777" w:rsidR="00FF229D" w:rsidRPr="00FF229D" w:rsidRDefault="00FF229D" w:rsidP="00CA6C8F">
            <w:pPr>
              <w:pStyle w:val="TableBullet"/>
              <w:rPr>
                <w:lang w:val="en-GB"/>
              </w:rPr>
            </w:pPr>
            <w:r w:rsidRPr="00FF229D">
              <w:rPr>
                <w:lang w:val="en-GB"/>
              </w:rPr>
              <w:t>the priority group(s) and gender identity</w:t>
            </w:r>
          </w:p>
          <w:p w14:paraId="4D975769" w14:textId="77777777" w:rsidR="00FF229D" w:rsidRPr="00FF229D" w:rsidRDefault="00FF229D" w:rsidP="00CA6C8F">
            <w:pPr>
              <w:pStyle w:val="TableBullet"/>
              <w:rPr>
                <w:lang w:val="en-GB"/>
              </w:rPr>
            </w:pPr>
            <w:r w:rsidRPr="00FF229D">
              <w:rPr>
                <w:lang w:val="en-GB"/>
              </w:rPr>
              <w:t>the employment commencement date</w:t>
            </w:r>
          </w:p>
          <w:p w14:paraId="420127B1" w14:textId="77777777" w:rsidR="00FF229D" w:rsidRPr="00FF229D" w:rsidRDefault="00FF229D" w:rsidP="00CA6C8F">
            <w:pPr>
              <w:pStyle w:val="TableBullet"/>
              <w:rPr>
                <w:lang w:val="en-GB"/>
              </w:rPr>
            </w:pPr>
            <w:r w:rsidRPr="00FF229D">
              <w:rPr>
                <w:lang w:val="en-GB"/>
              </w:rPr>
              <w:t>employment status at the time of commencing work</w:t>
            </w:r>
          </w:p>
          <w:p w14:paraId="415C9541" w14:textId="77777777" w:rsidR="00FF229D" w:rsidRPr="00FF229D" w:rsidRDefault="00FF229D" w:rsidP="00CA6C8F">
            <w:pPr>
              <w:pStyle w:val="TableBullet"/>
              <w:rPr>
                <w:lang w:val="en-GB"/>
              </w:rPr>
            </w:pPr>
            <w:r w:rsidRPr="00FF229D">
              <w:rPr>
                <w:lang w:val="en-GB"/>
              </w:rPr>
              <w:t xml:space="preserve">the employee’s residency status </w:t>
            </w:r>
          </w:p>
          <w:p w14:paraId="17D6C44B" w14:textId="3417A002" w:rsidR="00FF229D" w:rsidRPr="00FF229D" w:rsidRDefault="00CA6C8F" w:rsidP="004732DA">
            <w:pPr>
              <w:pStyle w:val="TableCopy"/>
              <w:rPr>
                <w:lang w:val="en-GB"/>
              </w:rPr>
            </w:pPr>
            <w:r>
              <w:rPr>
                <w:lang w:val="en-GB"/>
              </w:rPr>
              <w:fldChar w:fldCharType="begin">
                <w:ffData>
                  <w:name w:val="Check11"/>
                  <w:enabled/>
                  <w:calcOnExit w:val="0"/>
                  <w:checkBox>
                    <w:sizeAuto/>
                    <w:default w:val="0"/>
                  </w:checkBox>
                </w:ffData>
              </w:fldChar>
            </w:r>
            <w:bookmarkStart w:id="32" w:name="Check11"/>
            <w:r>
              <w:rPr>
                <w:lang w:val="en-GB"/>
              </w:rPr>
              <w:instrText xml:space="preserve"> FORMCHECKBOX </w:instrText>
            </w:r>
            <w:r w:rsidR="003C12A6">
              <w:rPr>
                <w:lang w:val="en-GB"/>
              </w:rPr>
            </w:r>
            <w:r w:rsidR="003C12A6">
              <w:rPr>
                <w:lang w:val="en-GB"/>
              </w:rPr>
              <w:fldChar w:fldCharType="separate"/>
            </w:r>
            <w:r>
              <w:rPr>
                <w:lang w:val="en-GB"/>
              </w:rPr>
              <w:fldChar w:fldCharType="end"/>
            </w:r>
            <w:bookmarkEnd w:id="32"/>
            <w:r>
              <w:rPr>
                <w:lang w:val="en-GB"/>
              </w:rPr>
              <w:t xml:space="preserve"> </w:t>
            </w:r>
            <w:r w:rsidR="00FF229D" w:rsidRPr="00FF229D">
              <w:rPr>
                <w:lang w:val="en-GB"/>
              </w:rPr>
              <w:t>Employment contract (if available) and employee payslip (must be attached to application)</w:t>
            </w:r>
          </w:p>
        </w:tc>
      </w:tr>
      <w:tr w:rsidR="00FF229D" w:rsidRPr="00FF229D" w14:paraId="30BBE3FB" w14:textId="77777777" w:rsidTr="00AC4303">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059A5EAE" w14:textId="77777777" w:rsidR="00FF229D" w:rsidRPr="00FF229D" w:rsidRDefault="00FF229D" w:rsidP="004732DA">
            <w:pPr>
              <w:pStyle w:val="TableCopy"/>
              <w:rPr>
                <w:lang w:val="en-GB"/>
              </w:rPr>
            </w:pPr>
            <w:r w:rsidRPr="00FF229D">
              <w:rPr>
                <w:lang w:val="en-GB"/>
              </w:rPr>
              <w:t>Job eligibility</w:t>
            </w:r>
          </w:p>
        </w:tc>
        <w:tc>
          <w:tcPr>
            <w:cnfStyle w:val="000001000000" w:firstRow="0" w:lastRow="0" w:firstColumn="0" w:lastColumn="0" w:oddVBand="0" w:evenVBand="1" w:oddHBand="0" w:evenHBand="0" w:firstRowFirstColumn="0" w:firstRowLastColumn="0" w:lastRowFirstColumn="0" w:lastRowLastColumn="0"/>
            <w:tcW w:w="1247" w:type="dxa"/>
          </w:tcPr>
          <w:p w14:paraId="0E2EF5E8" w14:textId="76D4C2B6" w:rsidR="00FF229D" w:rsidRPr="00FF229D" w:rsidRDefault="003C12A6" w:rsidP="004732DA">
            <w:pPr>
              <w:pStyle w:val="TableCopy"/>
              <w:rPr>
                <w:lang w:val="en-GB"/>
              </w:rPr>
            </w:pPr>
            <w:hyperlink w:anchor="_Criterion_C_–" w:history="1">
              <w:r w:rsidR="00FF229D" w:rsidRPr="00B2179D">
                <w:rPr>
                  <w:rStyle w:val="Hyperlink"/>
                  <w:lang w:val="en-GB"/>
                </w:rPr>
                <w:t>Section 3.3</w:t>
              </w:r>
            </w:hyperlink>
          </w:p>
        </w:tc>
        <w:tc>
          <w:tcPr>
            <w:cnfStyle w:val="000010000000" w:firstRow="0" w:lastRow="0" w:firstColumn="0" w:lastColumn="0" w:oddVBand="1" w:evenVBand="0" w:oddHBand="0" w:evenHBand="0" w:firstRowFirstColumn="0" w:firstRowLastColumn="0" w:lastRowFirstColumn="0" w:lastRowLastColumn="0"/>
            <w:tcW w:w="8052" w:type="dxa"/>
          </w:tcPr>
          <w:p w14:paraId="3A9C7DB4" w14:textId="510485CD" w:rsidR="00FF229D" w:rsidRPr="004732DA" w:rsidRDefault="004732DA" w:rsidP="004732DA">
            <w:pPr>
              <w:pStyle w:val="TableCopy"/>
            </w:pPr>
            <w:r w:rsidRPr="004732DA">
              <w:fldChar w:fldCharType="begin">
                <w:ffData>
                  <w:name w:val="Check12"/>
                  <w:enabled/>
                  <w:calcOnExit w:val="0"/>
                  <w:checkBox>
                    <w:sizeAuto/>
                    <w:default w:val="0"/>
                  </w:checkBox>
                </w:ffData>
              </w:fldChar>
            </w:r>
            <w:bookmarkStart w:id="33" w:name="Check12"/>
            <w:r w:rsidRPr="004732DA">
              <w:instrText xml:space="preserve"> FORMCHECKBOX </w:instrText>
            </w:r>
            <w:r w:rsidR="003C12A6">
              <w:fldChar w:fldCharType="separate"/>
            </w:r>
            <w:r w:rsidRPr="004732DA">
              <w:fldChar w:fldCharType="end"/>
            </w:r>
            <w:bookmarkEnd w:id="33"/>
            <w:r w:rsidRPr="004732DA">
              <w:t xml:space="preserve"> </w:t>
            </w:r>
            <w:r w:rsidR="00FF229D" w:rsidRPr="004732DA">
              <w:t>Confirmation that each job is for a minimum of 12-months and provided on a permanent or fixed-term basis (</w:t>
            </w:r>
            <w:proofErr w:type="gramStart"/>
            <w:r w:rsidR="00FF229D" w:rsidRPr="004732DA">
              <w:t>i.e.</w:t>
            </w:r>
            <w:proofErr w:type="gramEnd"/>
            <w:r w:rsidR="00FF229D" w:rsidRPr="004732DA">
              <w:t xml:space="preserve"> part-time or full-time, not casual, and for at least a minimum of 19 hours per week)</w:t>
            </w:r>
          </w:p>
          <w:p w14:paraId="208F339D" w14:textId="3893CD97" w:rsidR="00F5156E" w:rsidRPr="00F5156E" w:rsidRDefault="004732DA" w:rsidP="004732DA">
            <w:pPr>
              <w:pStyle w:val="TableCopy"/>
            </w:pPr>
            <w:r w:rsidRPr="004732DA">
              <w:fldChar w:fldCharType="begin">
                <w:ffData>
                  <w:name w:val="Check13"/>
                  <w:enabled/>
                  <w:calcOnExit w:val="0"/>
                  <w:checkBox>
                    <w:sizeAuto/>
                    <w:default w:val="0"/>
                  </w:checkBox>
                </w:ffData>
              </w:fldChar>
            </w:r>
            <w:bookmarkStart w:id="34" w:name="Check13"/>
            <w:r w:rsidRPr="004732DA">
              <w:instrText xml:space="preserve"> FORMCHECKBOX </w:instrText>
            </w:r>
            <w:r w:rsidR="003C12A6">
              <w:fldChar w:fldCharType="separate"/>
            </w:r>
            <w:r w:rsidRPr="004732DA">
              <w:fldChar w:fldCharType="end"/>
            </w:r>
            <w:bookmarkEnd w:id="34"/>
            <w:r w:rsidRPr="004732DA">
              <w:t xml:space="preserve"> </w:t>
            </w:r>
            <w:r w:rsidR="00FF229D" w:rsidRPr="004732DA">
              <w:t>Confirmation that the full-time salary or wages is not above $120,000 per annum excluding superannuation (pro rata for part-time)</w:t>
            </w:r>
          </w:p>
        </w:tc>
      </w:tr>
      <w:tr w:rsidR="00FF229D" w:rsidRPr="00FF229D" w14:paraId="061188D9" w14:textId="77777777" w:rsidTr="00AC4303">
        <w:trPr>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3325D4C6" w14:textId="77777777" w:rsidR="00FF229D" w:rsidRPr="00FF229D" w:rsidRDefault="00FF229D" w:rsidP="004732DA">
            <w:pPr>
              <w:pStyle w:val="TableCopy"/>
              <w:rPr>
                <w:lang w:val="en-GB"/>
              </w:rPr>
            </w:pPr>
            <w:r w:rsidRPr="00FF229D">
              <w:rPr>
                <w:lang w:val="en-GB"/>
              </w:rPr>
              <w:lastRenderedPageBreak/>
              <w:t>Statutory declaration</w:t>
            </w:r>
          </w:p>
        </w:tc>
        <w:tc>
          <w:tcPr>
            <w:cnfStyle w:val="000001000000" w:firstRow="0" w:lastRow="0" w:firstColumn="0" w:lastColumn="0" w:oddVBand="0" w:evenVBand="1" w:oddHBand="0" w:evenHBand="0" w:firstRowFirstColumn="0" w:firstRowLastColumn="0" w:lastRowFirstColumn="0" w:lastRowLastColumn="0"/>
            <w:tcW w:w="1247" w:type="dxa"/>
          </w:tcPr>
          <w:p w14:paraId="4D60796F" w14:textId="77777777" w:rsidR="00FF229D" w:rsidRPr="00FF229D" w:rsidRDefault="00FF229D" w:rsidP="004732DA">
            <w:pPr>
              <w:pStyle w:val="TableCopy"/>
              <w:rPr>
                <w:lang w:val="en-GB"/>
              </w:rPr>
            </w:pPr>
            <w:r w:rsidRPr="00FF229D">
              <w:rPr>
                <w:lang w:val="en-GB"/>
              </w:rPr>
              <w:t>N/A</w:t>
            </w:r>
          </w:p>
        </w:tc>
        <w:tc>
          <w:tcPr>
            <w:cnfStyle w:val="000010000000" w:firstRow="0" w:lastRow="0" w:firstColumn="0" w:lastColumn="0" w:oddVBand="1" w:evenVBand="0" w:oddHBand="0" w:evenHBand="0" w:firstRowFirstColumn="0" w:firstRowLastColumn="0" w:lastRowFirstColumn="0" w:lastRowLastColumn="0"/>
            <w:tcW w:w="8052" w:type="dxa"/>
          </w:tcPr>
          <w:p w14:paraId="091F786F" w14:textId="5063D7C4" w:rsidR="00FF229D" w:rsidRPr="00FF229D" w:rsidRDefault="00F5156E" w:rsidP="004732DA">
            <w:pPr>
              <w:pStyle w:val="TableCopy"/>
              <w:rPr>
                <w:lang w:val="en-GB"/>
              </w:rPr>
            </w:pPr>
            <w:r>
              <w:rPr>
                <w:lang w:val="en-GB"/>
              </w:rPr>
              <w:fldChar w:fldCharType="begin">
                <w:ffData>
                  <w:name w:val="Check14"/>
                  <w:enabled/>
                  <w:calcOnExit w:val="0"/>
                  <w:checkBox>
                    <w:sizeAuto/>
                    <w:default w:val="0"/>
                  </w:checkBox>
                </w:ffData>
              </w:fldChar>
            </w:r>
            <w:bookmarkStart w:id="35" w:name="Check14"/>
            <w:r>
              <w:rPr>
                <w:lang w:val="en-GB"/>
              </w:rPr>
              <w:instrText xml:space="preserve"> FORMCHECKBOX </w:instrText>
            </w:r>
            <w:r w:rsidR="003C12A6">
              <w:rPr>
                <w:lang w:val="en-GB"/>
              </w:rPr>
            </w:r>
            <w:r w:rsidR="003C12A6">
              <w:rPr>
                <w:lang w:val="en-GB"/>
              </w:rPr>
              <w:fldChar w:fldCharType="separate"/>
            </w:r>
            <w:r>
              <w:rPr>
                <w:lang w:val="en-GB"/>
              </w:rPr>
              <w:fldChar w:fldCharType="end"/>
            </w:r>
            <w:bookmarkEnd w:id="35"/>
            <w:r>
              <w:rPr>
                <w:lang w:val="en-GB"/>
              </w:rPr>
              <w:t xml:space="preserve"> </w:t>
            </w:r>
            <w:r w:rsidR="00FF229D" w:rsidRPr="00FF229D">
              <w:rPr>
                <w:lang w:val="en-GB"/>
              </w:rPr>
              <w:t xml:space="preserve">A statutory declaration (must be attached to application) to verify: </w:t>
            </w:r>
          </w:p>
          <w:p w14:paraId="175BFD63" w14:textId="77777777" w:rsidR="00FF229D" w:rsidRPr="00FF229D" w:rsidRDefault="00FF229D" w:rsidP="0090331F">
            <w:pPr>
              <w:pStyle w:val="TableBullet"/>
              <w:numPr>
                <w:ilvl w:val="0"/>
                <w:numId w:val="10"/>
              </w:numPr>
              <w:rPr>
                <w:lang w:val="en-GB"/>
              </w:rPr>
            </w:pPr>
            <w:r w:rsidRPr="00FF229D">
              <w:rPr>
                <w:lang w:val="en-GB"/>
              </w:rPr>
              <w:t xml:space="preserve">that the applicant is authorised to act on behalf of the organisation </w:t>
            </w:r>
          </w:p>
          <w:p w14:paraId="3F14883F" w14:textId="77777777" w:rsidR="00FF229D" w:rsidRPr="00FF229D" w:rsidRDefault="00FF229D" w:rsidP="0090331F">
            <w:pPr>
              <w:pStyle w:val="TableBullet"/>
              <w:numPr>
                <w:ilvl w:val="0"/>
                <w:numId w:val="10"/>
              </w:numPr>
              <w:rPr>
                <w:lang w:val="en-GB"/>
              </w:rPr>
            </w:pPr>
            <w:r w:rsidRPr="00FF229D">
              <w:rPr>
                <w:lang w:val="en-GB"/>
              </w:rPr>
              <w:t xml:space="preserve">that the eligible employee(s) do not displace existing employees </w:t>
            </w:r>
          </w:p>
          <w:p w14:paraId="11BBA518" w14:textId="77777777" w:rsidR="00FF229D" w:rsidRPr="00FF229D" w:rsidRDefault="00FF229D" w:rsidP="0090331F">
            <w:pPr>
              <w:pStyle w:val="TableBullet"/>
              <w:numPr>
                <w:ilvl w:val="0"/>
                <w:numId w:val="10"/>
              </w:numPr>
              <w:rPr>
                <w:lang w:val="en-GB"/>
              </w:rPr>
            </w:pPr>
            <w:r w:rsidRPr="00FF229D">
              <w:rPr>
                <w:lang w:val="en-GB"/>
              </w:rPr>
              <w:t>the number of full-time equivalent (FTE) employees excluding the eligible employee(s)</w:t>
            </w:r>
          </w:p>
          <w:p w14:paraId="66B932C7" w14:textId="77777777" w:rsidR="00FF229D" w:rsidRPr="00FF229D" w:rsidRDefault="00FF229D" w:rsidP="0090331F">
            <w:pPr>
              <w:pStyle w:val="TableBullet"/>
              <w:numPr>
                <w:ilvl w:val="0"/>
                <w:numId w:val="10"/>
              </w:numPr>
              <w:rPr>
                <w:lang w:val="en-GB"/>
              </w:rPr>
            </w:pPr>
            <w:r w:rsidRPr="00FF229D">
              <w:rPr>
                <w:lang w:val="en-GB"/>
              </w:rPr>
              <w:t>that all employees are paid at least legal minimum wages and entitlements as specified in the applicable award, enterprise agreement or National Employment Standards</w:t>
            </w:r>
          </w:p>
          <w:p w14:paraId="69DDEACF" w14:textId="735EEF97" w:rsidR="00FF229D" w:rsidRPr="00FF229D" w:rsidRDefault="00FF229D" w:rsidP="0090331F">
            <w:pPr>
              <w:pStyle w:val="TableBullet"/>
              <w:numPr>
                <w:ilvl w:val="0"/>
                <w:numId w:val="10"/>
              </w:numPr>
              <w:rPr>
                <w:lang w:val="en-GB"/>
              </w:rPr>
            </w:pPr>
            <w:r w:rsidRPr="00FF229D">
              <w:rPr>
                <w:lang w:val="en-GB"/>
              </w:rPr>
              <w:t xml:space="preserve">that the eligible employee(s) are entitled to work for the applicant as: Australian citizens; holders of Australian permanent residence visas with work entitlements; holders of Australian temporary work visas; holders of student visas who are enrolled in an eligible course of study in Australia; or holders of Australian refugee and humanitarian visas with work entitlements </w:t>
            </w:r>
          </w:p>
          <w:p w14:paraId="01860455" w14:textId="3379A06C" w:rsidR="00FF229D" w:rsidRPr="00FF229D" w:rsidRDefault="00FF229D" w:rsidP="0090331F">
            <w:pPr>
              <w:pStyle w:val="TableBullet"/>
              <w:numPr>
                <w:ilvl w:val="0"/>
                <w:numId w:val="10"/>
              </w:numPr>
              <w:rPr>
                <w:lang w:val="en-GB"/>
              </w:rPr>
            </w:pPr>
            <w:r w:rsidRPr="00FF229D">
              <w:rPr>
                <w:lang w:val="en-GB"/>
              </w:rPr>
              <w:t xml:space="preserve">that the eligible employee(s) commenced employment with the applicant within 12 weeks of the date of application (unless the employee(s) were previously employed under the Working for Victoria initiative or were employed by the applicant under casual employment arrangements and have transitioned to a permanent or fixed-term job of at least 19 hours per week with the applicant) </w:t>
            </w:r>
          </w:p>
          <w:p w14:paraId="0D60F165" w14:textId="7931276C" w:rsidR="00FF229D" w:rsidRPr="00FF229D" w:rsidRDefault="00FF229D" w:rsidP="0090331F">
            <w:pPr>
              <w:pStyle w:val="TableBullet"/>
              <w:numPr>
                <w:ilvl w:val="0"/>
                <w:numId w:val="10"/>
              </w:numPr>
              <w:rPr>
                <w:lang w:val="en-GB"/>
              </w:rPr>
            </w:pPr>
            <w:r w:rsidRPr="00FF229D">
              <w:rPr>
                <w:lang w:val="en-GB"/>
              </w:rPr>
              <w:t> </w:t>
            </w:r>
            <w:r w:rsidRPr="00FF229D">
              <w:rPr>
                <w:i/>
                <w:iCs/>
                <w:lang w:val="en-GB"/>
              </w:rPr>
              <w:t>(for private sector, Aboriginal businesses, social enterprises, sole traders only)</w:t>
            </w:r>
            <w:r w:rsidRPr="00FF229D">
              <w:rPr>
                <w:lang w:val="en-GB"/>
              </w:rPr>
              <w:t xml:space="preserve"> a payroll of less than $20 million in the financial year immediately preceding the date of application</w:t>
            </w:r>
          </w:p>
          <w:p w14:paraId="5B19723A" w14:textId="77777777" w:rsidR="00FF229D" w:rsidRPr="00FF229D" w:rsidRDefault="00FF229D" w:rsidP="0090331F">
            <w:pPr>
              <w:pStyle w:val="TableBullet"/>
              <w:numPr>
                <w:ilvl w:val="0"/>
                <w:numId w:val="10"/>
              </w:numPr>
              <w:rPr>
                <w:lang w:val="en-GB"/>
              </w:rPr>
            </w:pPr>
            <w:r w:rsidRPr="00FF229D">
              <w:rPr>
                <w:lang w:val="en-GB"/>
              </w:rPr>
              <w:t> </w:t>
            </w:r>
            <w:r w:rsidRPr="00FF229D">
              <w:rPr>
                <w:i/>
                <w:iCs/>
                <w:lang w:val="en-GB"/>
              </w:rPr>
              <w:t>(for applicants seeking wage subsidies for more than three employees only)</w:t>
            </w:r>
            <w:r w:rsidRPr="00FF229D">
              <w:rPr>
                <w:lang w:val="en-GB"/>
              </w:rPr>
              <w:t xml:space="preserve"> that at least 60 per cent of the roles for which wage subsidies are being sought are provided to women</w:t>
            </w:r>
          </w:p>
          <w:p w14:paraId="7A400BCC" w14:textId="5F775B65" w:rsidR="00FF229D" w:rsidRPr="00FF229D" w:rsidRDefault="00FF229D" w:rsidP="0090331F">
            <w:pPr>
              <w:pStyle w:val="TableBullet"/>
              <w:numPr>
                <w:ilvl w:val="0"/>
                <w:numId w:val="10"/>
              </w:numPr>
              <w:rPr>
                <w:lang w:val="en-GB"/>
              </w:rPr>
            </w:pPr>
            <w:r w:rsidRPr="00FF229D">
              <w:rPr>
                <w:lang w:val="en-GB"/>
              </w:rPr>
              <w:t> </w:t>
            </w:r>
            <w:r w:rsidRPr="00FF229D">
              <w:rPr>
                <w:i/>
                <w:iCs/>
                <w:lang w:val="en-GB"/>
              </w:rPr>
              <w:t>(for applicants applying in respect of employee(s) who have transitioned from casual employment to a fixed-term or permanent position)</w:t>
            </w:r>
            <w:r w:rsidRPr="00FF229D">
              <w:rPr>
                <w:lang w:val="en-GB"/>
              </w:rPr>
              <w:t xml:space="preserve"> that the applicant employed the employee(s) for 16 hours or less per fortnight prior to the employee(s) transitioning to fixed-term or permanent position(s) with the applicant on or after 16 March 2021</w:t>
            </w:r>
          </w:p>
        </w:tc>
      </w:tr>
      <w:tr w:rsidR="00FF229D" w:rsidRPr="00FF229D" w14:paraId="64F0D6A1" w14:textId="77777777" w:rsidTr="00AC4303">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1191" w:type="dxa"/>
          </w:tcPr>
          <w:p w14:paraId="69BBAA7F" w14:textId="77777777" w:rsidR="00FF229D" w:rsidRPr="00FF229D" w:rsidRDefault="00FF229D" w:rsidP="00AB6FF0">
            <w:pPr>
              <w:pStyle w:val="TableCopy"/>
              <w:rPr>
                <w:lang w:val="en-GB"/>
              </w:rPr>
            </w:pPr>
            <w:r w:rsidRPr="00FF229D">
              <w:rPr>
                <w:lang w:val="en-GB"/>
              </w:rPr>
              <w:lastRenderedPageBreak/>
              <w:t>Financial information (if applicable)</w:t>
            </w:r>
          </w:p>
        </w:tc>
        <w:tc>
          <w:tcPr>
            <w:cnfStyle w:val="000001000000" w:firstRow="0" w:lastRow="0" w:firstColumn="0" w:lastColumn="0" w:oddVBand="0" w:evenVBand="1" w:oddHBand="0" w:evenHBand="0" w:firstRowFirstColumn="0" w:firstRowLastColumn="0" w:lastRowFirstColumn="0" w:lastRowLastColumn="0"/>
            <w:tcW w:w="1247" w:type="dxa"/>
          </w:tcPr>
          <w:p w14:paraId="5F88B6C8" w14:textId="77777777" w:rsidR="00FF229D" w:rsidRPr="00FF229D" w:rsidRDefault="00FF229D" w:rsidP="00AB6FF0">
            <w:pPr>
              <w:pStyle w:val="TableCopy"/>
              <w:rPr>
                <w:lang w:val="en-GB"/>
              </w:rPr>
            </w:pPr>
            <w:r w:rsidRPr="00FF229D">
              <w:rPr>
                <w:lang w:val="en-GB"/>
              </w:rPr>
              <w:t>N/A</w:t>
            </w:r>
          </w:p>
        </w:tc>
        <w:tc>
          <w:tcPr>
            <w:cnfStyle w:val="000010000000" w:firstRow="0" w:lastRow="0" w:firstColumn="0" w:lastColumn="0" w:oddVBand="1" w:evenVBand="0" w:oddHBand="0" w:evenHBand="0" w:firstRowFirstColumn="0" w:firstRowLastColumn="0" w:lastRowFirstColumn="0" w:lastRowLastColumn="0"/>
            <w:tcW w:w="8052" w:type="dxa"/>
          </w:tcPr>
          <w:p w14:paraId="511585B9" w14:textId="77777777" w:rsidR="00AB6FF0" w:rsidRDefault="00AB6FF0" w:rsidP="00AB6FF0">
            <w:pPr>
              <w:pStyle w:val="TableCopy"/>
              <w:rPr>
                <w:lang w:val="en-GB"/>
              </w:rPr>
            </w:pPr>
            <w:r>
              <w:rPr>
                <w:lang w:val="en-GB"/>
              </w:rPr>
              <w:fldChar w:fldCharType="begin">
                <w:ffData>
                  <w:name w:val="Check15"/>
                  <w:enabled/>
                  <w:calcOnExit w:val="0"/>
                  <w:checkBox>
                    <w:sizeAuto/>
                    <w:default w:val="0"/>
                  </w:checkBox>
                </w:ffData>
              </w:fldChar>
            </w:r>
            <w:bookmarkStart w:id="36" w:name="Check15"/>
            <w:r>
              <w:rPr>
                <w:lang w:val="en-GB"/>
              </w:rPr>
              <w:instrText xml:space="preserve"> FORMCHECKBOX </w:instrText>
            </w:r>
            <w:r w:rsidR="003C12A6">
              <w:rPr>
                <w:lang w:val="en-GB"/>
              </w:rPr>
            </w:r>
            <w:r w:rsidR="003C12A6">
              <w:rPr>
                <w:lang w:val="en-GB"/>
              </w:rPr>
              <w:fldChar w:fldCharType="separate"/>
            </w:r>
            <w:r>
              <w:rPr>
                <w:lang w:val="en-GB"/>
              </w:rPr>
              <w:fldChar w:fldCharType="end"/>
            </w:r>
            <w:bookmarkEnd w:id="36"/>
            <w:r>
              <w:rPr>
                <w:lang w:val="en-GB"/>
              </w:rPr>
              <w:t xml:space="preserve"> </w:t>
            </w:r>
            <w:r w:rsidR="00FF229D" w:rsidRPr="00FF229D">
              <w:rPr>
                <w:lang w:val="en-GB"/>
              </w:rPr>
              <w:t>Applicants seeking funding of $200,001 or more will be subject to a financial risk assessment (FRA) and required to provide financial documents to the Department to facilitate this check (must be attached to application)</w:t>
            </w:r>
          </w:p>
          <w:p w14:paraId="11BCB0B9" w14:textId="28DD6918" w:rsidR="00FF229D" w:rsidRPr="00FF229D" w:rsidRDefault="00FF229D" w:rsidP="00AB6FF0">
            <w:pPr>
              <w:pStyle w:val="TableCopy"/>
              <w:rPr>
                <w:lang w:val="en-GB"/>
              </w:rPr>
            </w:pPr>
            <w:r w:rsidRPr="00FF229D">
              <w:rPr>
                <w:lang w:val="en-GB"/>
              </w:rPr>
              <w:t>Applicants will be required to provide audited financial reports for the last two financial years. This should be the ‘final accounts’ with Directors’ Report &amp; Declaration and should include:</w:t>
            </w:r>
          </w:p>
          <w:p w14:paraId="0ED46261" w14:textId="77777777" w:rsidR="00FF229D" w:rsidRPr="00FF229D" w:rsidRDefault="00FF229D" w:rsidP="003C4BEA">
            <w:pPr>
              <w:pStyle w:val="Tablebulletdash"/>
            </w:pPr>
            <w:r w:rsidRPr="00FF229D">
              <w:t>Profit &amp; Loss Statement</w:t>
            </w:r>
          </w:p>
          <w:p w14:paraId="04CEED6C" w14:textId="77777777" w:rsidR="00FF229D" w:rsidRPr="00FF229D" w:rsidRDefault="00FF229D" w:rsidP="003C4BEA">
            <w:pPr>
              <w:pStyle w:val="Tablebulletdash"/>
            </w:pPr>
            <w:r w:rsidRPr="00FF229D">
              <w:t>Balance Sheet</w:t>
            </w:r>
          </w:p>
          <w:p w14:paraId="1176F4F8" w14:textId="77777777" w:rsidR="00FF229D" w:rsidRPr="00FF229D" w:rsidRDefault="00FF229D" w:rsidP="003C4BEA">
            <w:pPr>
              <w:pStyle w:val="Tablebulletdash"/>
            </w:pPr>
            <w:r w:rsidRPr="00FF229D">
              <w:t>Cashflow Statement</w:t>
            </w:r>
          </w:p>
          <w:p w14:paraId="1BA0926E" w14:textId="77777777" w:rsidR="00FF229D" w:rsidRPr="00FF229D" w:rsidRDefault="00FF229D" w:rsidP="003C4BEA">
            <w:pPr>
              <w:pStyle w:val="Tablebulletdash"/>
            </w:pPr>
            <w:r w:rsidRPr="00FF229D">
              <w:t>Notes to the Accounts</w:t>
            </w:r>
          </w:p>
          <w:p w14:paraId="7A1E529C" w14:textId="174F9475" w:rsidR="00FF229D" w:rsidRPr="00FF229D" w:rsidRDefault="00FF229D" w:rsidP="003C4BEA">
            <w:pPr>
              <w:pStyle w:val="TableCopy"/>
              <w:rPr>
                <w:lang w:val="en-GB"/>
              </w:rPr>
            </w:pPr>
            <w:r w:rsidRPr="00FF229D">
              <w:rPr>
                <w:lang w:val="en-GB"/>
              </w:rPr>
              <w:t>Where the latest financial report is more than six months old, the following will be required:</w:t>
            </w:r>
          </w:p>
          <w:p w14:paraId="785423E7" w14:textId="77777777" w:rsidR="00FF229D" w:rsidRPr="00FF229D" w:rsidRDefault="00FF229D" w:rsidP="00F1203A">
            <w:pPr>
              <w:pStyle w:val="Tablebulletdash"/>
            </w:pPr>
            <w:r w:rsidRPr="00FF229D">
              <w:t xml:space="preserve">up-to-date management or interim financial statements (Profit &amp; Loss Statement and Balance Sheet); or </w:t>
            </w:r>
          </w:p>
          <w:p w14:paraId="4EF25139" w14:textId="62FF0200" w:rsidR="00FF229D" w:rsidRPr="00FF229D" w:rsidRDefault="00FF229D" w:rsidP="00F1203A">
            <w:pPr>
              <w:pStyle w:val="Tablebulletdash"/>
            </w:pPr>
            <w:r w:rsidRPr="00FF229D">
              <w:t>in case of public listed corporations, half yearly financial report</w:t>
            </w:r>
          </w:p>
          <w:p w14:paraId="4122DEBC" w14:textId="57BA02FF" w:rsidR="00FF229D" w:rsidRPr="00FF229D" w:rsidRDefault="00FF229D" w:rsidP="00AB6FF0">
            <w:pPr>
              <w:pStyle w:val="TableCopy"/>
              <w:rPr>
                <w:lang w:val="en-GB"/>
              </w:rPr>
            </w:pPr>
            <w:r w:rsidRPr="00FF229D">
              <w:rPr>
                <w:lang w:val="en-GB"/>
              </w:rPr>
              <w:t>If the applicants’ accounts are not audited, unaudited accounts which have been prepared by an accountant will be accepted</w:t>
            </w:r>
          </w:p>
          <w:p w14:paraId="71C7A2C4" w14:textId="1611C8FB" w:rsidR="00FF229D" w:rsidRPr="00FF229D" w:rsidRDefault="00FF229D" w:rsidP="00AB6FF0">
            <w:pPr>
              <w:pStyle w:val="TableCopy"/>
              <w:rPr>
                <w:lang w:val="en-GB"/>
              </w:rPr>
            </w:pPr>
            <w:r w:rsidRPr="00FF229D">
              <w:rPr>
                <w:lang w:val="en-GB"/>
              </w:rPr>
              <w:t>Note that local governments and publicly funded universities and educational institutes are exempt from the FRA process and are not required to provide these documents</w:t>
            </w:r>
          </w:p>
          <w:p w14:paraId="12BC3C8E" w14:textId="075DD832" w:rsidR="00FF229D" w:rsidRPr="00FF229D" w:rsidRDefault="006B365E" w:rsidP="00AB6FF0">
            <w:pPr>
              <w:pStyle w:val="TableCopy"/>
              <w:rPr>
                <w:lang w:val="en-GB"/>
              </w:rPr>
            </w:pPr>
            <w:r>
              <w:rPr>
                <w:lang w:val="en-GB"/>
              </w:rPr>
              <w:fldChar w:fldCharType="begin">
                <w:ffData>
                  <w:name w:val="Check16"/>
                  <w:enabled/>
                  <w:calcOnExit w:val="0"/>
                  <w:checkBox>
                    <w:sizeAuto/>
                    <w:default w:val="0"/>
                  </w:checkBox>
                </w:ffData>
              </w:fldChar>
            </w:r>
            <w:bookmarkStart w:id="37" w:name="Check16"/>
            <w:r>
              <w:rPr>
                <w:lang w:val="en-GB"/>
              </w:rPr>
              <w:instrText xml:space="preserve"> FORMCHECKBOX </w:instrText>
            </w:r>
            <w:r w:rsidR="003C12A6">
              <w:rPr>
                <w:lang w:val="en-GB"/>
              </w:rPr>
            </w:r>
            <w:r w:rsidR="003C12A6">
              <w:rPr>
                <w:lang w:val="en-GB"/>
              </w:rPr>
              <w:fldChar w:fldCharType="separate"/>
            </w:r>
            <w:r>
              <w:rPr>
                <w:lang w:val="en-GB"/>
              </w:rPr>
              <w:fldChar w:fldCharType="end"/>
            </w:r>
            <w:bookmarkEnd w:id="37"/>
            <w:r>
              <w:rPr>
                <w:lang w:val="en-GB"/>
              </w:rPr>
              <w:t xml:space="preserve"> </w:t>
            </w:r>
            <w:r w:rsidR="00FF229D" w:rsidRPr="00FF229D">
              <w:rPr>
                <w:lang w:val="en-GB"/>
              </w:rPr>
              <w:t xml:space="preserve">For organisations that have been registered for less than two years, or have no trading history, the following documents will be required: </w:t>
            </w:r>
          </w:p>
          <w:p w14:paraId="5A6BD718" w14:textId="77777777" w:rsidR="00FF229D" w:rsidRPr="00FF229D" w:rsidRDefault="00FF229D" w:rsidP="005E60E0">
            <w:pPr>
              <w:pStyle w:val="Tablebulletdash"/>
            </w:pPr>
            <w:r w:rsidRPr="00FF229D">
              <w:t>Any Audited Final Accounts or Final Accounts prepared by an accountant</w:t>
            </w:r>
          </w:p>
          <w:p w14:paraId="7627A6CE" w14:textId="77777777" w:rsidR="00FF229D" w:rsidRPr="00FF229D" w:rsidRDefault="00FF229D" w:rsidP="005E60E0">
            <w:pPr>
              <w:pStyle w:val="Tablebulletdash"/>
            </w:pPr>
            <w:r w:rsidRPr="00FF229D">
              <w:t xml:space="preserve">Up-to-date management or interim financial statements (Profit &amp; Loss Statement and Balance Sheet). </w:t>
            </w:r>
          </w:p>
          <w:p w14:paraId="6A372D09" w14:textId="4AD0F5BB" w:rsidR="00FF229D" w:rsidRPr="00FF229D" w:rsidRDefault="00FF229D" w:rsidP="005E60E0">
            <w:pPr>
              <w:pStyle w:val="Tablebulletdash"/>
            </w:pPr>
            <w:r w:rsidRPr="00FF229D">
              <w:t>In the case of public listed corporations, half yearly financial reports. These could be Internal Accounts or Accounts prepared by an accountant</w:t>
            </w:r>
          </w:p>
          <w:p w14:paraId="61C7AA61" w14:textId="12D15E00" w:rsidR="00FF229D" w:rsidRPr="00FF229D" w:rsidRDefault="00FF229D" w:rsidP="00AB6FF0">
            <w:pPr>
              <w:pStyle w:val="TableCopy"/>
              <w:rPr>
                <w:lang w:val="en-GB"/>
              </w:rPr>
            </w:pPr>
            <w:r w:rsidRPr="00FF229D">
              <w:rPr>
                <w:lang w:val="en-GB"/>
              </w:rPr>
              <w:t>Applicants with less than two years of trading history will also need to submit Profit &amp; Loss and Cashflow Projections for:</w:t>
            </w:r>
          </w:p>
          <w:p w14:paraId="43E02B99" w14:textId="77777777" w:rsidR="00FF229D" w:rsidRPr="00FF229D" w:rsidRDefault="00FF229D" w:rsidP="00F96F28">
            <w:pPr>
              <w:pStyle w:val="Tablebulletdash"/>
            </w:pPr>
            <w:r w:rsidRPr="00FF229D">
              <w:t>1 July 2021 – 30 June 2022</w:t>
            </w:r>
          </w:p>
          <w:p w14:paraId="09F556B1" w14:textId="77777777" w:rsidR="00FF229D" w:rsidRPr="00FF229D" w:rsidRDefault="00FF229D" w:rsidP="00F96F28">
            <w:pPr>
              <w:pStyle w:val="Tablebulletdash"/>
            </w:pPr>
            <w:r w:rsidRPr="00FF229D">
              <w:t>1 July 2022 – 30 June 2023</w:t>
            </w:r>
          </w:p>
          <w:p w14:paraId="240B6A11" w14:textId="77777777" w:rsidR="00FF229D" w:rsidRPr="00FF229D" w:rsidRDefault="00FF229D" w:rsidP="00F96F28">
            <w:pPr>
              <w:pStyle w:val="Tablebulletdash"/>
            </w:pPr>
            <w:r w:rsidRPr="00FF229D">
              <w:t>1 July 2023 – 30 June 2024</w:t>
            </w:r>
          </w:p>
        </w:tc>
      </w:tr>
    </w:tbl>
    <w:p w14:paraId="0666D122" w14:textId="77777777" w:rsidR="00FF229D" w:rsidRPr="00FF229D" w:rsidRDefault="00FF229D" w:rsidP="00FF229D">
      <w:pPr>
        <w:rPr>
          <w:lang w:val="en-GB"/>
        </w:rPr>
      </w:pPr>
    </w:p>
    <w:p w14:paraId="3171B562" w14:textId="58FC2747" w:rsidR="00FF229D" w:rsidRPr="00FF229D" w:rsidRDefault="00FF229D" w:rsidP="00C465B7">
      <w:pPr>
        <w:pStyle w:val="Heading1"/>
        <w:numPr>
          <w:ilvl w:val="0"/>
          <w:numId w:val="3"/>
        </w:numPr>
        <w:rPr>
          <w:lang w:val="en-GB"/>
        </w:rPr>
      </w:pPr>
      <w:bookmarkStart w:id="38" w:name="_Toc67585375"/>
      <w:r w:rsidRPr="00FF229D">
        <w:rPr>
          <w:lang w:val="en-GB"/>
        </w:rPr>
        <w:t>Grant agreements</w:t>
      </w:r>
      <w:bookmarkEnd w:id="38"/>
      <w:r w:rsidRPr="00FF229D">
        <w:rPr>
          <w:lang w:val="en-GB"/>
        </w:rPr>
        <w:t xml:space="preserve"> </w:t>
      </w:r>
    </w:p>
    <w:p w14:paraId="724834A2" w14:textId="1109691E" w:rsidR="00FF229D" w:rsidRPr="00FF229D" w:rsidRDefault="00FF229D" w:rsidP="00FF229D">
      <w:pPr>
        <w:rPr>
          <w:lang w:val="en-GB"/>
        </w:rPr>
      </w:pPr>
      <w:r w:rsidRPr="00FF229D">
        <w:rPr>
          <w:lang w:val="en-GB"/>
        </w:rPr>
        <w:t xml:space="preserve">Successful applicants will receive a Letter of Offer and a legally binding Grant Agreement describing the conditions (including compliance with relevant government policies), services to be delivered, milestones and payment schedule and reporting requirements. The approval and allocation of funding will comply with the </w:t>
      </w:r>
      <w:r w:rsidRPr="00FF229D">
        <w:rPr>
          <w:i/>
          <w:iCs/>
          <w:lang w:val="en-GB"/>
        </w:rPr>
        <w:t>Financial Management Act 2004</w:t>
      </w:r>
      <w:r w:rsidRPr="00FF229D">
        <w:rPr>
          <w:lang w:val="en-GB"/>
        </w:rPr>
        <w:t xml:space="preserve">. </w:t>
      </w:r>
    </w:p>
    <w:p w14:paraId="5718285B" w14:textId="31126C48" w:rsidR="00FF229D" w:rsidRPr="00FF229D" w:rsidRDefault="00FF229D" w:rsidP="00FF229D">
      <w:pPr>
        <w:rPr>
          <w:lang w:val="en-GB"/>
        </w:rPr>
      </w:pPr>
      <w:r w:rsidRPr="00FF229D">
        <w:rPr>
          <w:lang w:val="en-GB"/>
        </w:rPr>
        <w:t xml:space="preserve">For funding amounts equal to or less than $50,000, the Grant Agreement must be signed and returned to the Department within 30 days of the Letter of Offer. The offer may be withdrawn, at the Department’s absolute discretion, if the Grant Agreement is not executed within the 30-day timeframe, or if the project has not commenced within a specified timeframe. </w:t>
      </w:r>
    </w:p>
    <w:p w14:paraId="54D10E7D" w14:textId="17DD7330" w:rsidR="00FF229D" w:rsidRPr="00FF229D" w:rsidRDefault="00FF229D" w:rsidP="00FF229D">
      <w:pPr>
        <w:rPr>
          <w:lang w:val="en-GB"/>
        </w:rPr>
      </w:pPr>
      <w:r w:rsidRPr="00FF229D">
        <w:rPr>
          <w:lang w:val="en-GB"/>
        </w:rPr>
        <w:t>For funding amounts greater than $50,000, applicants will have 30 calendar days from the date of the Letter of Offer to accept the offer in writing and 60 calendar days from the date of acceptance to execute the Grant Agreement with the Department. The offer may be withdrawn, at the Department’s absolute discretion if the Grant Agreement is not executed within the 60-day timeframe.</w:t>
      </w:r>
    </w:p>
    <w:p w14:paraId="7325ACAC" w14:textId="77777777" w:rsidR="00FF229D" w:rsidRPr="00FF229D" w:rsidRDefault="00FF229D" w:rsidP="00FF229D">
      <w:pPr>
        <w:rPr>
          <w:lang w:val="en-GB"/>
        </w:rPr>
      </w:pPr>
      <w:r w:rsidRPr="00FF229D">
        <w:rPr>
          <w:lang w:val="en-GB"/>
        </w:rPr>
        <w:lastRenderedPageBreak/>
        <w:t>All amounts in the Grant Agreement are exclusive of GST.</w:t>
      </w:r>
    </w:p>
    <w:p w14:paraId="075E2578" w14:textId="2598AB9E" w:rsidR="00FF229D" w:rsidRPr="00FF229D" w:rsidRDefault="00FF229D" w:rsidP="007C7C3A">
      <w:pPr>
        <w:pStyle w:val="Heading2"/>
        <w:numPr>
          <w:ilvl w:val="1"/>
          <w:numId w:val="3"/>
        </w:numPr>
        <w:rPr>
          <w:lang w:val="en-GB"/>
        </w:rPr>
      </w:pPr>
      <w:bookmarkStart w:id="39" w:name="_Toc67585376"/>
      <w:r w:rsidRPr="00FF229D">
        <w:rPr>
          <w:lang w:val="en-GB"/>
        </w:rPr>
        <w:t>Privacy</w:t>
      </w:r>
      <w:bookmarkEnd w:id="39"/>
    </w:p>
    <w:p w14:paraId="41D01E1F" w14:textId="06E35123" w:rsidR="00FF229D" w:rsidRPr="00FF229D" w:rsidRDefault="00FF229D" w:rsidP="00FF229D">
      <w:pPr>
        <w:rPr>
          <w:lang w:val="en-GB"/>
        </w:rPr>
      </w:pPr>
      <w:r w:rsidRPr="00FF229D">
        <w:rPr>
          <w:lang w:val="en-GB"/>
        </w:rPr>
        <w:t>Any personal information provided by the applicant or a third party in an application will be collected by the Department for the purpose of program administration. This information may be disclosed to other Victorian or Commonwealth government bodies for the purposes of assessing applications. If confidential personal information about third parties is included in an application, applicants are required to ensure that the third party is aware of the contents of this Privacy Statement.</w:t>
      </w:r>
    </w:p>
    <w:p w14:paraId="68206792" w14:textId="42F541AF" w:rsidR="00FF229D" w:rsidRPr="00FF229D" w:rsidRDefault="00FF229D" w:rsidP="00FF229D">
      <w:pPr>
        <w:rPr>
          <w:lang w:val="en-GB"/>
        </w:rPr>
      </w:pPr>
      <w:r w:rsidRPr="00FF229D">
        <w:rPr>
          <w:lang w:val="en-GB"/>
        </w:rPr>
        <w:t xml:space="preserve">Any personal or health information collected, held, managed, used, disclosed or transferred will be held in accordance with the </w:t>
      </w:r>
      <w:r w:rsidRPr="00FF229D">
        <w:rPr>
          <w:i/>
          <w:iCs/>
          <w:lang w:val="en-GB"/>
        </w:rPr>
        <w:t>Privacy and Data Protection Act 2014 (Vic)</w:t>
      </w:r>
      <w:r w:rsidRPr="00FF229D">
        <w:rPr>
          <w:lang w:val="en-GB"/>
        </w:rPr>
        <w:t xml:space="preserve">, the </w:t>
      </w:r>
      <w:r w:rsidRPr="00FF229D">
        <w:rPr>
          <w:i/>
          <w:iCs/>
          <w:lang w:val="en-GB"/>
        </w:rPr>
        <w:t>Health Records Act 2001 (Vic)</w:t>
      </w:r>
      <w:r w:rsidRPr="00FF229D">
        <w:rPr>
          <w:lang w:val="en-GB"/>
        </w:rPr>
        <w:t xml:space="preserve"> and other applicable laws.</w:t>
      </w:r>
    </w:p>
    <w:p w14:paraId="2F49C366" w14:textId="1F46AA2C" w:rsidR="007C7C3A" w:rsidRDefault="00FF229D" w:rsidP="00FF229D">
      <w:pPr>
        <w:rPr>
          <w:b/>
          <w:bCs/>
          <w:lang w:val="en-GB"/>
        </w:rPr>
      </w:pPr>
      <w:r w:rsidRPr="00FF229D">
        <w:rPr>
          <w:lang w:val="en-GB"/>
        </w:rPr>
        <w:t xml:space="preserve">The Department is committed to protecting the privacy of personal information. The Department’s Privacy Policy can be found </w:t>
      </w:r>
      <w:hyperlink r:id="rId22" w:history="1">
        <w:r w:rsidRPr="00FF229D">
          <w:rPr>
            <w:rStyle w:val="Hyperlink"/>
            <w:b/>
            <w:bCs/>
            <w:lang w:val="en-GB"/>
          </w:rPr>
          <w:t>online</w:t>
        </w:r>
      </w:hyperlink>
      <w:r w:rsidRPr="00FF229D">
        <w:rPr>
          <w:lang w:val="en-GB"/>
        </w:rPr>
        <w:t>. Enquiries about access to information should be directed to the Department’s Privacy Unit</w:t>
      </w:r>
      <w:r w:rsidR="007C7C3A">
        <w:rPr>
          <w:lang w:val="en-GB"/>
        </w:rPr>
        <w:t xml:space="preserve"> </w:t>
      </w:r>
      <w:r w:rsidRPr="00FF229D">
        <w:rPr>
          <w:lang w:val="en-GB"/>
        </w:rPr>
        <w:t>(</w:t>
      </w:r>
      <w:hyperlink r:id="rId23" w:history="1">
        <w:r w:rsidR="007C7C3A" w:rsidRPr="00FF229D">
          <w:rPr>
            <w:rStyle w:val="Hyperlink"/>
            <w:b/>
            <w:bCs/>
            <w:lang w:val="en-GB"/>
          </w:rPr>
          <w:t>privacy@ecodev.vic.gov.au</w:t>
        </w:r>
      </w:hyperlink>
      <w:r w:rsidR="007C7C3A" w:rsidRPr="007C7C3A">
        <w:rPr>
          <w:lang w:val="en-GB"/>
        </w:rPr>
        <w:t>).</w:t>
      </w:r>
    </w:p>
    <w:p w14:paraId="2961C6AE" w14:textId="23CD4A29" w:rsidR="00FF229D" w:rsidRPr="00FF229D" w:rsidRDefault="00FF229D" w:rsidP="007C7C3A">
      <w:pPr>
        <w:pStyle w:val="Heading2"/>
        <w:numPr>
          <w:ilvl w:val="1"/>
          <w:numId w:val="3"/>
        </w:numPr>
        <w:rPr>
          <w:lang w:val="en-GB"/>
        </w:rPr>
      </w:pPr>
      <w:bookmarkStart w:id="40" w:name="_Toc67585377"/>
      <w:r w:rsidRPr="00FF229D">
        <w:rPr>
          <w:lang w:val="en-GB"/>
        </w:rPr>
        <w:t>Publicity and media</w:t>
      </w:r>
      <w:bookmarkEnd w:id="40"/>
    </w:p>
    <w:p w14:paraId="270FDBCD" w14:textId="77777777" w:rsidR="00FF229D" w:rsidRPr="00FF229D" w:rsidRDefault="00FF229D" w:rsidP="00FF229D">
      <w:pPr>
        <w:rPr>
          <w:lang w:val="en-GB"/>
        </w:rPr>
      </w:pPr>
      <w:r w:rsidRPr="00FF229D">
        <w:rPr>
          <w:lang w:val="en-GB"/>
        </w:rPr>
        <w:t>Recipients must:</w:t>
      </w:r>
    </w:p>
    <w:p w14:paraId="2670121A" w14:textId="2B8C4E31" w:rsidR="00FF229D" w:rsidRPr="00FF229D" w:rsidRDefault="00FF229D" w:rsidP="007C7C3A">
      <w:pPr>
        <w:pStyle w:val="Bullet"/>
        <w:numPr>
          <w:ilvl w:val="0"/>
          <w:numId w:val="15"/>
        </w:numPr>
        <w:rPr>
          <w:lang w:val="en-GB"/>
        </w:rPr>
      </w:pPr>
      <w:r w:rsidRPr="00FF229D">
        <w:rPr>
          <w:lang w:val="en-GB"/>
        </w:rPr>
        <w:t>Agree to cooperate with the Department in the preparation of materials used to promote the benefits of the program, such as a media release, promotion publication or case study.</w:t>
      </w:r>
    </w:p>
    <w:p w14:paraId="347345FD" w14:textId="40A06579" w:rsidR="00FF229D" w:rsidRPr="00FF229D" w:rsidRDefault="00FF229D" w:rsidP="007C7C3A">
      <w:pPr>
        <w:pStyle w:val="Bullet"/>
        <w:numPr>
          <w:ilvl w:val="0"/>
          <w:numId w:val="15"/>
        </w:numPr>
        <w:rPr>
          <w:lang w:val="en-GB"/>
        </w:rPr>
      </w:pPr>
      <w:r w:rsidRPr="00FF229D">
        <w:rPr>
          <w:lang w:val="en-GB"/>
        </w:rPr>
        <w:t>Provide any project promotion materials in draft to the Department prior to the publication.</w:t>
      </w:r>
    </w:p>
    <w:p w14:paraId="4550CCE2" w14:textId="6461AB38" w:rsidR="00FF229D" w:rsidRPr="00FF229D" w:rsidRDefault="00FF229D" w:rsidP="007C7C3A">
      <w:pPr>
        <w:pStyle w:val="Bullet"/>
        <w:numPr>
          <w:ilvl w:val="0"/>
          <w:numId w:val="15"/>
        </w:numPr>
        <w:rPr>
          <w:lang w:val="en-GB"/>
        </w:rPr>
      </w:pPr>
      <w:r w:rsidRPr="00FF229D">
        <w:rPr>
          <w:lang w:val="en-GB"/>
        </w:rPr>
        <w:t xml:space="preserve">Not make any public announcement or issue any press release regarding the receipt of a Grant without prior approval by the Department. </w:t>
      </w:r>
    </w:p>
    <w:p w14:paraId="47D0C900" w14:textId="77777777" w:rsidR="00FF229D" w:rsidRPr="00FF229D" w:rsidRDefault="00FF229D" w:rsidP="007C7C3A">
      <w:pPr>
        <w:pStyle w:val="Bullet"/>
        <w:numPr>
          <w:ilvl w:val="0"/>
          <w:numId w:val="15"/>
        </w:numPr>
        <w:rPr>
          <w:lang w:val="en-GB"/>
        </w:rPr>
      </w:pPr>
      <w:r w:rsidRPr="00FF229D">
        <w:rPr>
          <w:lang w:val="en-GB"/>
        </w:rPr>
        <w:t>Comply with any additional requirements as stipulated in the Grant Agreement.</w:t>
      </w:r>
    </w:p>
    <w:p w14:paraId="2FBBE91B" w14:textId="77777777" w:rsidR="00FF229D" w:rsidRPr="00FF229D" w:rsidRDefault="00FF229D" w:rsidP="007C7C3A">
      <w:pPr>
        <w:pStyle w:val="Bullet"/>
        <w:numPr>
          <w:ilvl w:val="0"/>
          <w:numId w:val="15"/>
        </w:numPr>
        <w:rPr>
          <w:lang w:val="en-GB"/>
        </w:rPr>
      </w:pPr>
      <w:r w:rsidRPr="00FF229D">
        <w:rPr>
          <w:lang w:val="en-GB"/>
        </w:rPr>
        <w:t>The Jobs Victoria brand entity should be included on all advertising and promotional material related to any supported employees.</w:t>
      </w:r>
    </w:p>
    <w:p w14:paraId="56EA7E0F" w14:textId="1F852558" w:rsidR="00FF229D" w:rsidRPr="00FF229D" w:rsidRDefault="00FF229D" w:rsidP="00FF229D">
      <w:pPr>
        <w:rPr>
          <w:lang w:val="en-GB"/>
        </w:rPr>
      </w:pPr>
      <w:r w:rsidRPr="00FF229D">
        <w:rPr>
          <w:lang w:val="en-GB"/>
        </w:rPr>
        <w:t>The Department may request recipients to fact check any text and seek approval to use any owned imagery associated with the activity prior to the publication of any such promotional materials</w:t>
      </w:r>
    </w:p>
    <w:p w14:paraId="7CF2E9B3" w14:textId="51F66753" w:rsidR="00FF229D" w:rsidRPr="00FF229D" w:rsidRDefault="00FF229D" w:rsidP="00FF229D">
      <w:pPr>
        <w:rPr>
          <w:lang w:val="en-GB"/>
        </w:rPr>
      </w:pPr>
      <w:r w:rsidRPr="00FF229D">
        <w:rPr>
          <w:lang w:val="en-GB"/>
        </w:rPr>
        <w:t>All recipients may be publicly listed in the Department’s annual reports and on program websites.</w:t>
      </w:r>
    </w:p>
    <w:p w14:paraId="0DFC7995" w14:textId="5469AF1B" w:rsidR="00FF229D" w:rsidRPr="00FF229D" w:rsidRDefault="00FF229D" w:rsidP="00FF229D">
      <w:pPr>
        <w:rPr>
          <w:lang w:val="en-GB"/>
        </w:rPr>
      </w:pPr>
      <w:r w:rsidRPr="00FF229D">
        <w:rPr>
          <w:lang w:val="en-GB"/>
        </w:rPr>
        <w:t xml:space="preserve">Further information on the Victorian Government branding guidelines can be obtained at the </w:t>
      </w:r>
      <w:hyperlink r:id="rId24" w:history="1">
        <w:r w:rsidRPr="00FF229D">
          <w:rPr>
            <w:rStyle w:val="Hyperlink"/>
            <w:b/>
            <w:bCs/>
            <w:lang w:val="en-GB"/>
          </w:rPr>
          <w:t>Department of Premier and Cabinet website</w:t>
        </w:r>
      </w:hyperlink>
      <w:r w:rsidRPr="00FF229D">
        <w:rPr>
          <w:lang w:val="en-GB"/>
        </w:rPr>
        <w:t xml:space="preserve">. </w:t>
      </w:r>
    </w:p>
    <w:p w14:paraId="29D0FEDB" w14:textId="34715E81" w:rsidR="00FF229D" w:rsidRPr="00FF229D" w:rsidRDefault="00FF229D" w:rsidP="007C7C3A">
      <w:pPr>
        <w:pStyle w:val="Heading2"/>
        <w:numPr>
          <w:ilvl w:val="1"/>
          <w:numId w:val="3"/>
        </w:numPr>
        <w:rPr>
          <w:lang w:val="en-GB"/>
        </w:rPr>
      </w:pPr>
      <w:bookmarkStart w:id="41" w:name="_Toc67585378"/>
      <w:r w:rsidRPr="00FF229D">
        <w:rPr>
          <w:lang w:val="en-GB"/>
        </w:rPr>
        <w:t>Evaluation</w:t>
      </w:r>
      <w:bookmarkEnd w:id="41"/>
    </w:p>
    <w:p w14:paraId="51CDD41A" w14:textId="7C4358BF" w:rsidR="00FF229D" w:rsidRPr="00FF229D" w:rsidRDefault="00FF229D" w:rsidP="00FF229D">
      <w:pPr>
        <w:rPr>
          <w:lang w:val="en-GB"/>
        </w:rPr>
      </w:pPr>
      <w:r w:rsidRPr="00FF229D">
        <w:rPr>
          <w:lang w:val="en-GB"/>
        </w:rPr>
        <w:t xml:space="preserve">Successful applicants must comply with the Department’s performance monitoring and evaluation regime, including cooperating with any evaluation of the Jobs Victoria Fund which may be required for up to three years following completion of the grant. Reporting may include the identity of successful applicants and projects and, where applicable, deviations from or exceptions to the assessment and approvals processes set out in these guidelines. </w:t>
      </w:r>
    </w:p>
    <w:p w14:paraId="604EBA4B" w14:textId="3EB08814" w:rsidR="00FF229D" w:rsidRPr="00FF229D" w:rsidRDefault="00FF229D" w:rsidP="00FF229D">
      <w:pPr>
        <w:rPr>
          <w:lang w:val="en-GB"/>
        </w:rPr>
      </w:pPr>
      <w:r w:rsidRPr="00FF229D">
        <w:rPr>
          <w:lang w:val="en-GB"/>
        </w:rPr>
        <w:t xml:space="preserve">Successful program outcomes may be used in program evaluation reviews and the Department’s marketing collateral. </w:t>
      </w:r>
    </w:p>
    <w:p w14:paraId="474DA8B6" w14:textId="1561484D" w:rsidR="00FF229D" w:rsidRPr="00FF229D" w:rsidRDefault="00FF229D" w:rsidP="007C7C3A">
      <w:pPr>
        <w:pStyle w:val="Heading2"/>
        <w:numPr>
          <w:ilvl w:val="1"/>
          <w:numId w:val="3"/>
        </w:numPr>
        <w:rPr>
          <w:lang w:val="en-GB"/>
        </w:rPr>
      </w:pPr>
      <w:bookmarkStart w:id="42" w:name="_Toc67585379"/>
      <w:r w:rsidRPr="00FF229D">
        <w:rPr>
          <w:lang w:val="en-GB"/>
        </w:rPr>
        <w:t>Audit and compliance</w:t>
      </w:r>
      <w:bookmarkEnd w:id="42"/>
    </w:p>
    <w:p w14:paraId="094E2350" w14:textId="34D7744B" w:rsidR="00FF229D" w:rsidRPr="00FF229D" w:rsidRDefault="00FF229D" w:rsidP="00FF229D">
      <w:pPr>
        <w:rPr>
          <w:lang w:val="en-GB"/>
        </w:rPr>
      </w:pPr>
      <w:r w:rsidRPr="00FF229D">
        <w:rPr>
          <w:lang w:val="en-GB"/>
        </w:rPr>
        <w:t>All successful applicants may be subject to a range of compliance and probity processes, including an independent audit to confirm the requirements of the grant have been met. As part of this process, applicants are required to answer any</w:t>
      </w:r>
      <w:r w:rsidR="007C7C3A">
        <w:rPr>
          <w:lang w:val="en-GB"/>
        </w:rPr>
        <w:t xml:space="preserve"> </w:t>
      </w:r>
      <w:r w:rsidRPr="00FF229D">
        <w:rPr>
          <w:lang w:val="en-GB"/>
        </w:rPr>
        <w:t>enquiries from the Department and/or an independent auditor, and to permit inspections and access to project accounts, employment records, project assets and the project site.</w:t>
      </w:r>
    </w:p>
    <w:p w14:paraId="15AD7BB2" w14:textId="4895432D" w:rsidR="00FF229D" w:rsidRPr="00FF229D" w:rsidRDefault="00FF229D" w:rsidP="00FF229D">
      <w:pPr>
        <w:rPr>
          <w:lang w:val="en-GB"/>
        </w:rPr>
      </w:pPr>
      <w:r w:rsidRPr="00FF229D">
        <w:rPr>
          <w:lang w:val="en-GB"/>
        </w:rPr>
        <w:t xml:space="preserve">Applicants found to include false or misleading information may be referred to the relevant law enforcement authority. </w:t>
      </w:r>
    </w:p>
    <w:p w14:paraId="3B6F2804" w14:textId="213EFEB3" w:rsidR="00FF229D" w:rsidRPr="00FF229D" w:rsidRDefault="00FF229D" w:rsidP="00127A68">
      <w:pPr>
        <w:pStyle w:val="Heading2"/>
        <w:numPr>
          <w:ilvl w:val="1"/>
          <w:numId w:val="3"/>
        </w:numPr>
        <w:rPr>
          <w:lang w:val="en-GB"/>
        </w:rPr>
      </w:pPr>
      <w:bookmarkStart w:id="43" w:name="_Toc67585380"/>
      <w:r w:rsidRPr="00FF229D">
        <w:rPr>
          <w:lang w:val="en-GB"/>
        </w:rPr>
        <w:t>Conflict of interest</w:t>
      </w:r>
      <w:bookmarkEnd w:id="43"/>
    </w:p>
    <w:p w14:paraId="325EFED1" w14:textId="77777777" w:rsidR="00FF229D" w:rsidRPr="00FF229D" w:rsidRDefault="00FF229D" w:rsidP="00FF229D">
      <w:pPr>
        <w:rPr>
          <w:lang w:val="en-GB"/>
        </w:rPr>
      </w:pPr>
      <w:r w:rsidRPr="00FF229D">
        <w:rPr>
          <w:lang w:val="en-GB"/>
        </w:rPr>
        <w:t>A conflict of interest is a situation in which someone in a position of trust or influence has competing professional or personal interests.</w:t>
      </w:r>
    </w:p>
    <w:p w14:paraId="016257D8" w14:textId="77777777" w:rsidR="00FF229D" w:rsidRPr="00FF229D" w:rsidRDefault="00FF229D" w:rsidP="00FF229D">
      <w:pPr>
        <w:rPr>
          <w:lang w:val="en-GB"/>
        </w:rPr>
      </w:pPr>
      <w:r w:rsidRPr="00FF229D">
        <w:rPr>
          <w:lang w:val="en-GB"/>
        </w:rPr>
        <w:lastRenderedPageBreak/>
        <w:t>Applicants must advise the Department of any real or perceived conflict of interest relating to their funding request under the Jobs Victoria Fund. Applicants must clearly demonstrate how the conflict will be managed. Should the applicant be unable to satisfy the Department that a conflict has been appropriately managed, the Department will require the applicant to withdraw its application until the matter has been resolved.</w:t>
      </w:r>
    </w:p>
    <w:p w14:paraId="34D0AA9F" w14:textId="47B25B60" w:rsidR="00FF229D" w:rsidRPr="00FF229D" w:rsidRDefault="00FF229D" w:rsidP="000179CF">
      <w:pPr>
        <w:pStyle w:val="Heading2"/>
        <w:numPr>
          <w:ilvl w:val="1"/>
          <w:numId w:val="3"/>
        </w:numPr>
        <w:rPr>
          <w:lang w:val="en-GB"/>
        </w:rPr>
      </w:pPr>
      <w:bookmarkStart w:id="44" w:name="_Toc67585381"/>
      <w:r w:rsidRPr="00FF229D">
        <w:rPr>
          <w:lang w:val="en-GB"/>
        </w:rPr>
        <w:t>Competitive neutrality</w:t>
      </w:r>
      <w:bookmarkEnd w:id="44"/>
      <w:r w:rsidRPr="00FF229D">
        <w:rPr>
          <w:lang w:val="en-GB"/>
        </w:rPr>
        <w:t xml:space="preserve"> </w:t>
      </w:r>
    </w:p>
    <w:p w14:paraId="456239C6" w14:textId="403C63D4" w:rsidR="00FF229D" w:rsidRPr="00FF229D" w:rsidRDefault="00FF229D" w:rsidP="00FF229D">
      <w:pPr>
        <w:rPr>
          <w:lang w:val="en-GB"/>
        </w:rPr>
      </w:pPr>
      <w:r w:rsidRPr="00FF229D">
        <w:rPr>
          <w:lang w:val="en-GB"/>
        </w:rPr>
        <w:t>If successful, local government authorities will be required to comply with the Competitive Neutrality Policy Victoria, in respect of any commercial goods or services offered by the body as a result of the grant.</w:t>
      </w:r>
    </w:p>
    <w:p w14:paraId="644F3226" w14:textId="67CE9D32" w:rsidR="00FF229D" w:rsidRPr="00FF229D" w:rsidRDefault="00FF229D" w:rsidP="000179CF">
      <w:pPr>
        <w:pStyle w:val="Heading1"/>
        <w:numPr>
          <w:ilvl w:val="0"/>
          <w:numId w:val="3"/>
        </w:numPr>
        <w:rPr>
          <w:lang w:val="en-GB"/>
        </w:rPr>
      </w:pPr>
      <w:bookmarkStart w:id="45" w:name="_Employer_responsibilities"/>
      <w:bookmarkStart w:id="46" w:name="_Toc67585382"/>
      <w:bookmarkEnd w:id="45"/>
      <w:r w:rsidRPr="00FF229D">
        <w:rPr>
          <w:lang w:val="en-GB"/>
        </w:rPr>
        <w:t>Employer responsibilities</w:t>
      </w:r>
      <w:bookmarkEnd w:id="46"/>
    </w:p>
    <w:p w14:paraId="4D43D81C" w14:textId="7C71778E" w:rsidR="00FF229D" w:rsidRPr="00FF229D" w:rsidRDefault="00FF229D" w:rsidP="000179CF">
      <w:pPr>
        <w:pStyle w:val="Heading2"/>
        <w:numPr>
          <w:ilvl w:val="1"/>
          <w:numId w:val="3"/>
        </w:numPr>
        <w:rPr>
          <w:lang w:val="en-GB"/>
        </w:rPr>
      </w:pPr>
      <w:bookmarkStart w:id="47" w:name="_Toc67585383"/>
      <w:r w:rsidRPr="00FF229D">
        <w:rPr>
          <w:lang w:val="en-GB"/>
        </w:rPr>
        <w:t>Employment standards for employers</w:t>
      </w:r>
      <w:bookmarkEnd w:id="47"/>
      <w:r w:rsidRPr="00FF229D">
        <w:rPr>
          <w:lang w:val="en-GB"/>
        </w:rPr>
        <w:t xml:space="preserve"> </w:t>
      </w:r>
    </w:p>
    <w:p w14:paraId="3EC69120" w14:textId="04B19F72" w:rsidR="00FF229D" w:rsidRPr="00FF229D" w:rsidRDefault="00FF229D" w:rsidP="00FF229D">
      <w:pPr>
        <w:rPr>
          <w:lang w:val="en-GB"/>
        </w:rPr>
      </w:pPr>
      <w:r w:rsidRPr="00FF229D">
        <w:rPr>
          <w:lang w:val="en-GB"/>
        </w:rPr>
        <w:t xml:space="preserve">Funding recipients must be aware of their workplace rights and obligations as the employer. This is because the employer is legally responsible for paying employees their correct entitlements under Commonwealth and state laws. Employers have all the usual responsibilities under workplace laws such as those relating to occupational health and safety. These responsibilities include meeting </w:t>
      </w:r>
      <w:hyperlink r:id="rId25" w:history="1">
        <w:proofErr w:type="spellStart"/>
        <w:r w:rsidRPr="00FF229D">
          <w:rPr>
            <w:rStyle w:val="Hyperlink"/>
            <w:b/>
            <w:bCs/>
            <w:lang w:val="en-GB"/>
          </w:rPr>
          <w:t>COVIDSafe</w:t>
        </w:r>
        <w:proofErr w:type="spellEnd"/>
        <w:r w:rsidRPr="00FF229D">
          <w:rPr>
            <w:rStyle w:val="Hyperlink"/>
            <w:b/>
            <w:bCs/>
            <w:lang w:val="en-GB"/>
          </w:rPr>
          <w:t xml:space="preserve"> workplace requirements</w:t>
        </w:r>
      </w:hyperlink>
      <w:r w:rsidRPr="00FF229D">
        <w:rPr>
          <w:lang w:val="en-GB"/>
        </w:rPr>
        <w:t xml:space="preserve">. Criminal and/or civil offences may apply to breaches of these laws. </w:t>
      </w:r>
    </w:p>
    <w:p w14:paraId="62BA4221" w14:textId="48EF8B79" w:rsidR="00FF229D" w:rsidRPr="00FF229D" w:rsidRDefault="00FF229D" w:rsidP="00FF229D">
      <w:pPr>
        <w:rPr>
          <w:lang w:val="en-GB"/>
        </w:rPr>
      </w:pPr>
      <w:r w:rsidRPr="00FF229D">
        <w:rPr>
          <w:lang w:val="en-GB"/>
        </w:rPr>
        <w:t xml:space="preserve">The employer has a legal responsibility to pay all employees the correct wages and entitlements. </w:t>
      </w:r>
    </w:p>
    <w:p w14:paraId="1E87CD19" w14:textId="6661B183" w:rsidR="00FF229D" w:rsidRPr="00FF229D" w:rsidRDefault="00FF229D" w:rsidP="00FF229D">
      <w:pPr>
        <w:rPr>
          <w:lang w:val="en-GB"/>
        </w:rPr>
      </w:pPr>
      <w:r w:rsidRPr="00FF229D">
        <w:rPr>
          <w:lang w:val="en-GB"/>
        </w:rPr>
        <w:t xml:space="preserve">As a minimum, all employees are entitled to 10 minimum employment standards called the </w:t>
      </w:r>
      <w:hyperlink r:id="rId26" w:anchor=":~:text=The%20National%20Employment%20Standards%20%28NES%29%20are%20the%2010,12%20months%20unpaid%20leave%20...%20More%20items...%20" w:history="1">
        <w:r w:rsidRPr="00FF229D">
          <w:rPr>
            <w:rStyle w:val="Hyperlink"/>
            <w:b/>
            <w:bCs/>
            <w:lang w:val="en-GB"/>
          </w:rPr>
          <w:t>National Employment Standards (NES)</w:t>
        </w:r>
      </w:hyperlink>
      <w:r w:rsidRPr="00FF229D">
        <w:rPr>
          <w:lang w:val="en-GB"/>
        </w:rPr>
        <w:t xml:space="preserve"> which are prescribed by law (the </w:t>
      </w:r>
      <w:r w:rsidRPr="00FF229D">
        <w:rPr>
          <w:i/>
          <w:iCs/>
          <w:lang w:val="en-GB"/>
        </w:rPr>
        <w:t>Fair Work Act 2009</w:t>
      </w:r>
      <w:r w:rsidRPr="00FF229D">
        <w:rPr>
          <w:lang w:val="en-GB"/>
        </w:rPr>
        <w:t xml:space="preserve">), as well as the national minimum wage. </w:t>
      </w:r>
    </w:p>
    <w:p w14:paraId="5AD3FB24" w14:textId="77777777" w:rsidR="00FF229D" w:rsidRPr="00FF229D" w:rsidRDefault="00FF229D" w:rsidP="00FF229D">
      <w:pPr>
        <w:rPr>
          <w:lang w:val="en-GB"/>
        </w:rPr>
      </w:pPr>
      <w:r w:rsidRPr="00FF229D">
        <w:rPr>
          <w:lang w:val="en-GB"/>
        </w:rPr>
        <w:t>In addition, it is likely that the employee is covered by an industrial award. Awards create other workplace rights and obligations additional to the NES.</w:t>
      </w:r>
    </w:p>
    <w:p w14:paraId="115683B9" w14:textId="7BF0122E" w:rsidR="00FF229D" w:rsidRPr="00FF229D" w:rsidRDefault="00FF229D" w:rsidP="00FF229D">
      <w:pPr>
        <w:rPr>
          <w:lang w:val="en-GB"/>
        </w:rPr>
      </w:pPr>
      <w:r w:rsidRPr="00FF229D">
        <w:rPr>
          <w:lang w:val="en-GB"/>
        </w:rPr>
        <w:t xml:space="preserve">Modern awards are made under the Fair Work Act 2009 and apply to most industries, most occupations and most employees. All Victorian businesses are covered by at least one award. </w:t>
      </w:r>
    </w:p>
    <w:p w14:paraId="3F081C69" w14:textId="5DF5D5B7" w:rsidR="00FF229D" w:rsidRPr="00FF229D" w:rsidRDefault="00FF229D" w:rsidP="00FF229D">
      <w:pPr>
        <w:rPr>
          <w:lang w:val="en-GB"/>
        </w:rPr>
      </w:pPr>
      <w:r w:rsidRPr="00FF229D">
        <w:rPr>
          <w:lang w:val="en-GB"/>
        </w:rPr>
        <w:t xml:space="preserve">Employers can use the Fair Work Ombudsman’s </w:t>
      </w:r>
      <w:hyperlink r:id="rId27" w:history="1">
        <w:r w:rsidRPr="00FF229D">
          <w:rPr>
            <w:rStyle w:val="Hyperlink"/>
            <w:b/>
            <w:bCs/>
            <w:lang w:val="en-GB"/>
          </w:rPr>
          <w:t>Pay and Conditions Tool</w:t>
        </w:r>
      </w:hyperlink>
      <w:r w:rsidRPr="00FF229D">
        <w:rPr>
          <w:lang w:val="en-GB"/>
        </w:rPr>
        <w:t xml:space="preserve"> (P.A.C.T) to find which award applies to their business. Employers are also strongly advised to ring the Fair Work Ombudsman on 13 13 94 (M-F, 8am-5.30pm) to ensure they are using the correct award, and classification within that award, to pay their employee. See also the Fair Work </w:t>
      </w:r>
      <w:hyperlink r:id="rId28" w:history="1">
        <w:r w:rsidRPr="00FF229D">
          <w:rPr>
            <w:rStyle w:val="Hyperlink"/>
            <w:b/>
            <w:bCs/>
            <w:lang w:val="en-GB"/>
          </w:rPr>
          <w:t>website</w:t>
        </w:r>
      </w:hyperlink>
      <w:r w:rsidRPr="00FF229D">
        <w:rPr>
          <w:lang w:val="en-GB"/>
        </w:rPr>
        <w:t xml:space="preserve">. </w:t>
      </w:r>
    </w:p>
    <w:p w14:paraId="3536B792" w14:textId="77777777" w:rsidR="00FF229D" w:rsidRPr="00FF229D" w:rsidRDefault="00FF229D" w:rsidP="00FF229D">
      <w:pPr>
        <w:rPr>
          <w:lang w:val="en-GB"/>
        </w:rPr>
      </w:pPr>
      <w:r w:rsidRPr="00FF229D">
        <w:rPr>
          <w:lang w:val="en-GB"/>
        </w:rPr>
        <w:t xml:space="preserve">Alternatively, the employee might be covered by an enterprise agreement that applies to the employer’s workplace. Again, the Fair Work Ombudsman can give advice on this. </w:t>
      </w:r>
    </w:p>
    <w:p w14:paraId="0F2D2433" w14:textId="5DF435B9" w:rsidR="00FF229D" w:rsidRPr="00FF229D" w:rsidRDefault="00FF229D" w:rsidP="00FF229D">
      <w:pPr>
        <w:rPr>
          <w:lang w:val="en-GB"/>
        </w:rPr>
      </w:pPr>
      <w:r w:rsidRPr="00FF229D">
        <w:rPr>
          <w:lang w:val="en-GB"/>
        </w:rPr>
        <w:t>Employers may also enter into a common law contract with their employee that provides other entitlements or imposes other conditions on the employee. Many businesses do this in the letter of offer to the employee. It is important to note that by law, employers cannot include any conditions in an employment contract that:</w:t>
      </w:r>
    </w:p>
    <w:p w14:paraId="51D268EE" w14:textId="4C32B579" w:rsidR="00FF229D" w:rsidRPr="00FF229D" w:rsidRDefault="00FF229D" w:rsidP="00981395">
      <w:pPr>
        <w:pStyle w:val="Bullet"/>
        <w:numPr>
          <w:ilvl w:val="0"/>
          <w:numId w:val="17"/>
        </w:numPr>
        <w:rPr>
          <w:lang w:val="en-GB"/>
        </w:rPr>
      </w:pPr>
      <w:r w:rsidRPr="00FF229D">
        <w:rPr>
          <w:lang w:val="en-GB"/>
        </w:rPr>
        <w:t xml:space="preserve">provide a pay rate that is lower than the rate in the applicable award or enterprise agreement, </w:t>
      </w:r>
      <w:proofErr w:type="gramStart"/>
      <w:r w:rsidRPr="00FF229D">
        <w:rPr>
          <w:lang w:val="en-GB"/>
        </w:rPr>
        <w:t>or;</w:t>
      </w:r>
      <w:proofErr w:type="gramEnd"/>
    </w:p>
    <w:p w14:paraId="10105957" w14:textId="77777777" w:rsidR="00FF229D" w:rsidRPr="00FF229D" w:rsidRDefault="00FF229D" w:rsidP="00981395">
      <w:pPr>
        <w:pStyle w:val="Bullet"/>
        <w:numPr>
          <w:ilvl w:val="0"/>
          <w:numId w:val="17"/>
        </w:numPr>
        <w:rPr>
          <w:lang w:val="en-GB"/>
        </w:rPr>
      </w:pPr>
      <w:r w:rsidRPr="00FF229D">
        <w:rPr>
          <w:lang w:val="en-GB"/>
        </w:rPr>
        <w:t xml:space="preserve">is less than the national minimum wage or the NES, </w:t>
      </w:r>
      <w:proofErr w:type="gramStart"/>
      <w:r w:rsidRPr="00FF229D">
        <w:rPr>
          <w:lang w:val="en-GB"/>
        </w:rPr>
        <w:t>or;</w:t>
      </w:r>
      <w:proofErr w:type="gramEnd"/>
    </w:p>
    <w:p w14:paraId="5E402124" w14:textId="77777777" w:rsidR="00FF229D" w:rsidRPr="00FF229D" w:rsidRDefault="00FF229D" w:rsidP="00981395">
      <w:pPr>
        <w:pStyle w:val="Bullet"/>
        <w:numPr>
          <w:ilvl w:val="0"/>
          <w:numId w:val="17"/>
        </w:numPr>
        <w:rPr>
          <w:lang w:val="en-GB"/>
        </w:rPr>
      </w:pPr>
      <w:r w:rsidRPr="00FF229D">
        <w:rPr>
          <w:lang w:val="en-GB"/>
        </w:rPr>
        <w:t xml:space="preserve">excludes the award, enterprise agreement or NES altogether. </w:t>
      </w:r>
    </w:p>
    <w:p w14:paraId="5D44474E" w14:textId="77777777" w:rsidR="00FF229D" w:rsidRPr="00FF229D" w:rsidRDefault="00FF229D" w:rsidP="00FF229D">
      <w:pPr>
        <w:rPr>
          <w:lang w:val="en-GB"/>
        </w:rPr>
      </w:pPr>
      <w:r w:rsidRPr="00FF229D">
        <w:rPr>
          <w:lang w:val="en-GB"/>
        </w:rPr>
        <w:t xml:space="preserve">If in any doubt, applicants should contact the Fair Work Ombudsman and obtain legal advice about your obligations. </w:t>
      </w:r>
    </w:p>
    <w:p w14:paraId="1F706463" w14:textId="616C4A21" w:rsidR="00FF229D" w:rsidRPr="00FF229D" w:rsidRDefault="00FF229D" w:rsidP="00981395">
      <w:pPr>
        <w:pStyle w:val="Heading2"/>
        <w:numPr>
          <w:ilvl w:val="1"/>
          <w:numId w:val="3"/>
        </w:numPr>
        <w:rPr>
          <w:lang w:val="en-GB"/>
        </w:rPr>
      </w:pPr>
      <w:bookmarkStart w:id="48" w:name="_Toc67585384"/>
      <w:r w:rsidRPr="00FF229D">
        <w:rPr>
          <w:lang w:val="en-GB"/>
        </w:rPr>
        <w:t>Long service laws</w:t>
      </w:r>
      <w:bookmarkEnd w:id="48"/>
    </w:p>
    <w:p w14:paraId="35C7F6C4" w14:textId="423BFF76" w:rsidR="00FF229D" w:rsidRPr="00FF229D" w:rsidRDefault="00FF229D" w:rsidP="00FF229D">
      <w:pPr>
        <w:rPr>
          <w:lang w:val="en-GB"/>
        </w:rPr>
      </w:pPr>
      <w:r w:rsidRPr="00FF229D">
        <w:rPr>
          <w:lang w:val="en-GB"/>
        </w:rPr>
        <w:t xml:space="preserve">In addition to your responsibilities under the </w:t>
      </w:r>
      <w:r w:rsidRPr="00FF229D">
        <w:rPr>
          <w:i/>
          <w:iCs/>
          <w:lang w:val="en-GB"/>
        </w:rPr>
        <w:t>Fair Work Act 2009</w:t>
      </w:r>
      <w:r w:rsidRPr="00FF229D">
        <w:rPr>
          <w:lang w:val="en-GB"/>
        </w:rPr>
        <w:t xml:space="preserve">, you also have an obligation to your employees under long service laws. The Victorian </w:t>
      </w:r>
      <w:r w:rsidRPr="00FF229D">
        <w:rPr>
          <w:i/>
          <w:iCs/>
          <w:lang w:val="en-GB"/>
        </w:rPr>
        <w:t>Long Service Leave Act 2018</w:t>
      </w:r>
      <w:r w:rsidRPr="00FF229D">
        <w:rPr>
          <w:lang w:val="en-GB"/>
        </w:rPr>
        <w:t xml:space="preserve"> applies as a default scheme for all Victorian workplaces. If you are an employer in the construction, community services, security or cleaning sectors, there are also portable long service benefits schemes that apply to your </w:t>
      </w:r>
      <w:hyperlink r:id="rId29" w:history="1">
        <w:r w:rsidRPr="00FF229D">
          <w:rPr>
            <w:rStyle w:val="Hyperlink"/>
            <w:b/>
            <w:bCs/>
            <w:lang w:val="en-GB"/>
          </w:rPr>
          <w:t>workplace</w:t>
        </w:r>
      </w:hyperlink>
      <w:r w:rsidRPr="00FF229D">
        <w:rPr>
          <w:lang w:val="en-GB"/>
        </w:rPr>
        <w:t xml:space="preserve">. Some workers also have entitlements under enterprise agreements made under the Fair Work Act, or under federal awards. For more information about long service schemes generally, or about the Victorian Long Service Leave Act, contact the Wage Inspectorate Victoria on 1800 287 287 or go to the </w:t>
      </w:r>
      <w:hyperlink r:id="rId30" w:history="1">
        <w:r w:rsidRPr="00FF229D">
          <w:rPr>
            <w:rStyle w:val="Hyperlink"/>
            <w:b/>
            <w:bCs/>
            <w:lang w:val="en-GB"/>
          </w:rPr>
          <w:t>website</w:t>
        </w:r>
      </w:hyperlink>
      <w:r w:rsidRPr="00FF229D">
        <w:rPr>
          <w:lang w:val="en-GB"/>
        </w:rPr>
        <w:t>.</w:t>
      </w:r>
    </w:p>
    <w:p w14:paraId="53529E02" w14:textId="77777777" w:rsidR="00FF229D" w:rsidRPr="00FF229D" w:rsidRDefault="00FF229D" w:rsidP="00FF229D">
      <w:pPr>
        <w:rPr>
          <w:lang w:val="en-GB"/>
        </w:rPr>
      </w:pPr>
      <w:r w:rsidRPr="00FF229D">
        <w:rPr>
          <w:lang w:val="en-GB"/>
        </w:rPr>
        <w:t>For more information contact the:</w:t>
      </w:r>
    </w:p>
    <w:p w14:paraId="2384A6A5" w14:textId="484D73E2" w:rsidR="00FF229D" w:rsidRPr="00FF229D" w:rsidRDefault="003C12A6" w:rsidP="00F34AC5">
      <w:pPr>
        <w:pStyle w:val="Bullet"/>
        <w:rPr>
          <w:lang w:val="en-GB"/>
        </w:rPr>
      </w:pPr>
      <w:hyperlink r:id="rId31" w:history="1">
        <w:r w:rsidR="00FF229D" w:rsidRPr="005003DD">
          <w:rPr>
            <w:rStyle w:val="Hyperlink"/>
            <w:b/>
            <w:bCs/>
            <w:lang w:val="en-GB"/>
          </w:rPr>
          <w:t>Wage Inspectorate Victoria</w:t>
        </w:r>
      </w:hyperlink>
      <w:r w:rsidR="00FF229D" w:rsidRPr="00FF229D">
        <w:rPr>
          <w:lang w:val="en-GB"/>
        </w:rPr>
        <w:t xml:space="preserve"> Ph 1800 287 287</w:t>
      </w:r>
    </w:p>
    <w:p w14:paraId="32F9BB58" w14:textId="63EA21CB" w:rsidR="00FF229D" w:rsidRPr="00F34AC5" w:rsidRDefault="003C12A6" w:rsidP="00F34AC5">
      <w:pPr>
        <w:pStyle w:val="Bullet"/>
        <w:rPr>
          <w:b/>
          <w:bCs/>
          <w:lang w:val="en-GB"/>
        </w:rPr>
      </w:pPr>
      <w:hyperlink r:id="rId32" w:history="1">
        <w:r w:rsidR="00FF229D" w:rsidRPr="00737059">
          <w:rPr>
            <w:rStyle w:val="Hyperlink"/>
            <w:b/>
            <w:bCs/>
            <w:lang w:val="en-GB"/>
          </w:rPr>
          <w:t>coinvest.</w:t>
        </w:r>
        <w:r w:rsidR="00FF229D" w:rsidRPr="00737059">
          <w:rPr>
            <w:rStyle w:val="Hyperlink"/>
            <w:b/>
            <w:bCs/>
          </w:rPr>
          <w:t>com</w:t>
        </w:r>
        <w:r w:rsidR="00FF229D" w:rsidRPr="00737059">
          <w:rPr>
            <w:rStyle w:val="Hyperlink"/>
            <w:b/>
            <w:bCs/>
            <w:lang w:val="en-GB"/>
          </w:rPr>
          <w:t>.au</w:t>
        </w:r>
      </w:hyperlink>
      <w:r w:rsidR="00FF229D" w:rsidRPr="00F34AC5">
        <w:rPr>
          <w:b/>
          <w:bCs/>
          <w:lang w:val="en-GB"/>
        </w:rPr>
        <w:t xml:space="preserve"> </w:t>
      </w:r>
    </w:p>
    <w:p w14:paraId="3194E9AC" w14:textId="4B036E57" w:rsidR="00FF229D" w:rsidRPr="00FF229D" w:rsidRDefault="00FF229D" w:rsidP="00F34AC5">
      <w:pPr>
        <w:pStyle w:val="Bullet"/>
        <w:rPr>
          <w:lang w:val="en-GB"/>
        </w:rPr>
      </w:pPr>
      <w:r w:rsidRPr="00FF229D">
        <w:rPr>
          <w:lang w:val="en-GB"/>
        </w:rPr>
        <w:t xml:space="preserve">Contract cleaning, community services, and security portable long service benefits scheme at the Portable Long Service Authority </w:t>
      </w:r>
      <w:hyperlink r:id="rId33" w:history="1">
        <w:r w:rsidRPr="00737059">
          <w:rPr>
            <w:rStyle w:val="Hyperlink"/>
            <w:b/>
            <w:bCs/>
            <w:lang w:val="en-GB"/>
          </w:rPr>
          <w:t>website</w:t>
        </w:r>
      </w:hyperlink>
      <w:r w:rsidRPr="00FF229D">
        <w:rPr>
          <w:lang w:val="en-GB"/>
        </w:rPr>
        <w:t xml:space="preserve">. </w:t>
      </w:r>
    </w:p>
    <w:p w14:paraId="38D548FF" w14:textId="2A9B4BFE" w:rsidR="00FF229D" w:rsidRPr="00FF229D" w:rsidRDefault="00FF229D" w:rsidP="00F34AC5">
      <w:pPr>
        <w:pStyle w:val="Heading2"/>
        <w:numPr>
          <w:ilvl w:val="1"/>
          <w:numId w:val="3"/>
        </w:numPr>
        <w:rPr>
          <w:lang w:val="en-GB"/>
        </w:rPr>
      </w:pPr>
      <w:bookmarkStart w:id="49" w:name="_Toc67585385"/>
      <w:r w:rsidRPr="00FF229D">
        <w:rPr>
          <w:lang w:val="en-GB"/>
        </w:rPr>
        <w:t>Employer and employee health and safety</w:t>
      </w:r>
      <w:bookmarkEnd w:id="49"/>
    </w:p>
    <w:p w14:paraId="695E2C7C" w14:textId="06957DF4" w:rsidR="00FF229D" w:rsidRPr="00FF229D" w:rsidRDefault="00FF229D" w:rsidP="00FF229D">
      <w:pPr>
        <w:rPr>
          <w:lang w:val="en-GB"/>
        </w:rPr>
      </w:pPr>
      <w:r w:rsidRPr="00FF229D">
        <w:rPr>
          <w:lang w:val="en-GB"/>
        </w:rPr>
        <w:t xml:space="preserve">All funding recipients must ensure that the individuals employed have a safe working environment without risks to health, and that as an employer, they will comply with all occupational health and safety requirements. Successful applicants will be subject to random checks. </w:t>
      </w:r>
    </w:p>
    <w:p w14:paraId="5CDD86AF" w14:textId="77777777" w:rsidR="00FF229D" w:rsidRPr="00FF229D" w:rsidRDefault="00FF229D" w:rsidP="00FF229D">
      <w:pPr>
        <w:rPr>
          <w:lang w:val="en-GB"/>
        </w:rPr>
      </w:pPr>
      <w:r w:rsidRPr="00FF229D">
        <w:rPr>
          <w:lang w:val="en-GB"/>
        </w:rPr>
        <w:t>As the employer, funding recipients must ensure compliance with all applicable Victorian and Commonwealth occupational health and safety, equal opportunity, anti-discrimination, affirmative action and privacy legislation.</w:t>
      </w:r>
    </w:p>
    <w:p w14:paraId="3984C828" w14:textId="5A862D72" w:rsidR="00FF229D" w:rsidRPr="00FF229D" w:rsidRDefault="00FF229D" w:rsidP="00FF229D">
      <w:pPr>
        <w:rPr>
          <w:lang w:val="en-GB"/>
        </w:rPr>
      </w:pPr>
      <w:r w:rsidRPr="00FF229D">
        <w:rPr>
          <w:lang w:val="en-GB"/>
        </w:rPr>
        <w:t xml:space="preserve">Given the coronavirus (COVID-19) pandemic, it is critical that all employers are aware of and complying with current restrictions. If funding recipients or their employees need further information on current restrictions, information and advice for businesses (including preventing infections in the workplace) or essential information on staying safe, please visit the Department of Health and Human Services </w:t>
      </w:r>
      <w:hyperlink r:id="rId34" w:history="1">
        <w:r w:rsidRPr="00FF229D">
          <w:rPr>
            <w:rStyle w:val="Hyperlink"/>
            <w:b/>
            <w:bCs/>
            <w:lang w:val="en-GB"/>
          </w:rPr>
          <w:t>website</w:t>
        </w:r>
      </w:hyperlink>
      <w:r w:rsidRPr="00FF229D">
        <w:rPr>
          <w:lang w:val="en-GB"/>
        </w:rPr>
        <w:t>.</w:t>
      </w:r>
    </w:p>
    <w:p w14:paraId="35FF858B" w14:textId="5361A066" w:rsidR="00FF229D" w:rsidRPr="00FF229D" w:rsidRDefault="00FF229D" w:rsidP="00FF229D">
      <w:pPr>
        <w:rPr>
          <w:lang w:val="en-GB"/>
        </w:rPr>
      </w:pPr>
      <w:r w:rsidRPr="00FF229D">
        <w:rPr>
          <w:lang w:val="en-GB"/>
        </w:rPr>
        <w:t>As the employer you’re responsible for health and safety in your workplace. Under workplace health and safety laws (</w:t>
      </w:r>
      <w:r w:rsidRPr="00FF229D">
        <w:rPr>
          <w:i/>
          <w:iCs/>
          <w:lang w:val="en-GB"/>
        </w:rPr>
        <w:t>Occupational Health and Safety Act 2004</w:t>
      </w:r>
      <w:r w:rsidRPr="00FF229D">
        <w:rPr>
          <w:lang w:val="en-GB"/>
        </w:rPr>
        <w:t>), you are required by law to provide:</w:t>
      </w:r>
    </w:p>
    <w:p w14:paraId="26B2E543" w14:textId="77777777" w:rsidR="00FF229D" w:rsidRPr="00FF229D" w:rsidRDefault="00FF229D" w:rsidP="004A0C1E">
      <w:pPr>
        <w:pStyle w:val="Bullet"/>
        <w:numPr>
          <w:ilvl w:val="0"/>
          <w:numId w:val="19"/>
        </w:numPr>
        <w:rPr>
          <w:lang w:val="en-GB"/>
        </w:rPr>
      </w:pPr>
      <w:r w:rsidRPr="00FF229D">
        <w:rPr>
          <w:lang w:val="en-GB"/>
        </w:rPr>
        <w:t>safe premises</w:t>
      </w:r>
    </w:p>
    <w:p w14:paraId="381204EC" w14:textId="77777777" w:rsidR="00FF229D" w:rsidRPr="00FF229D" w:rsidRDefault="00FF229D" w:rsidP="004A0C1E">
      <w:pPr>
        <w:pStyle w:val="Bullet"/>
        <w:numPr>
          <w:ilvl w:val="0"/>
          <w:numId w:val="19"/>
        </w:numPr>
        <w:rPr>
          <w:lang w:val="en-GB"/>
        </w:rPr>
      </w:pPr>
      <w:r w:rsidRPr="00FF229D">
        <w:rPr>
          <w:lang w:val="en-GB"/>
        </w:rPr>
        <w:t>safe machinery and materials</w:t>
      </w:r>
    </w:p>
    <w:p w14:paraId="26539373" w14:textId="77777777" w:rsidR="00FF229D" w:rsidRPr="00FF229D" w:rsidRDefault="00FF229D" w:rsidP="004A0C1E">
      <w:pPr>
        <w:pStyle w:val="Bullet"/>
        <w:numPr>
          <w:ilvl w:val="0"/>
          <w:numId w:val="19"/>
        </w:numPr>
        <w:rPr>
          <w:lang w:val="en-GB"/>
        </w:rPr>
      </w:pPr>
      <w:r w:rsidRPr="00FF229D">
        <w:rPr>
          <w:lang w:val="en-GB"/>
        </w:rPr>
        <w:t>safe systems of work</w:t>
      </w:r>
    </w:p>
    <w:p w14:paraId="6F4C61B7" w14:textId="77777777" w:rsidR="00FF229D" w:rsidRPr="00FF229D" w:rsidRDefault="00FF229D" w:rsidP="004A0C1E">
      <w:pPr>
        <w:pStyle w:val="Bullet"/>
        <w:numPr>
          <w:ilvl w:val="0"/>
          <w:numId w:val="19"/>
        </w:numPr>
        <w:rPr>
          <w:lang w:val="en-GB"/>
        </w:rPr>
      </w:pPr>
      <w:r w:rsidRPr="00FF229D">
        <w:rPr>
          <w:lang w:val="en-GB"/>
        </w:rPr>
        <w:t>information, instruction, training and supervision</w:t>
      </w:r>
    </w:p>
    <w:p w14:paraId="604D997F" w14:textId="77777777" w:rsidR="00FF229D" w:rsidRPr="00FF229D" w:rsidRDefault="00FF229D" w:rsidP="004A0C1E">
      <w:pPr>
        <w:pStyle w:val="Bullet"/>
        <w:numPr>
          <w:ilvl w:val="0"/>
          <w:numId w:val="19"/>
        </w:numPr>
        <w:rPr>
          <w:lang w:val="en-GB"/>
        </w:rPr>
      </w:pPr>
      <w:r w:rsidRPr="00FF229D">
        <w:rPr>
          <w:lang w:val="en-GB"/>
        </w:rPr>
        <w:t>a suitable working environment and facilities.</w:t>
      </w:r>
    </w:p>
    <w:p w14:paraId="1C068C42" w14:textId="1904DC70" w:rsidR="00FF229D" w:rsidRPr="00FF229D" w:rsidRDefault="00FF229D" w:rsidP="00FF229D">
      <w:pPr>
        <w:rPr>
          <w:lang w:val="en-GB"/>
        </w:rPr>
      </w:pPr>
      <w:r w:rsidRPr="00FF229D">
        <w:rPr>
          <w:lang w:val="en-GB"/>
        </w:rPr>
        <w:t xml:space="preserve">For advice on your work health and safety obligations you can visit the WorkSafe </w:t>
      </w:r>
      <w:hyperlink r:id="rId35" w:history="1">
        <w:r w:rsidRPr="00FF229D">
          <w:rPr>
            <w:rStyle w:val="Hyperlink"/>
            <w:b/>
            <w:bCs/>
            <w:lang w:val="en-GB"/>
          </w:rPr>
          <w:t>website</w:t>
        </w:r>
      </w:hyperlink>
      <w:r w:rsidRPr="00FF229D">
        <w:rPr>
          <w:lang w:val="en-GB"/>
        </w:rPr>
        <w:t xml:space="preserve"> or contact WorkSafe on 1800 136 089.</w:t>
      </w:r>
    </w:p>
    <w:p w14:paraId="423F81C4" w14:textId="688607A8" w:rsidR="00FF229D" w:rsidRPr="00FF229D" w:rsidRDefault="00FF229D" w:rsidP="004A0C1E">
      <w:pPr>
        <w:pStyle w:val="Heading2"/>
        <w:numPr>
          <w:ilvl w:val="1"/>
          <w:numId w:val="3"/>
        </w:numPr>
        <w:rPr>
          <w:lang w:val="en-GB"/>
        </w:rPr>
      </w:pPr>
      <w:bookmarkStart w:id="50" w:name="_Toc67585386"/>
      <w:r w:rsidRPr="00FF229D">
        <w:rPr>
          <w:lang w:val="en-GB"/>
        </w:rPr>
        <w:t>Requirements for trades jobs funded by the Department</w:t>
      </w:r>
      <w:bookmarkEnd w:id="50"/>
      <w:r w:rsidRPr="00FF229D">
        <w:rPr>
          <w:lang w:val="en-GB"/>
        </w:rPr>
        <w:t xml:space="preserve"> </w:t>
      </w:r>
    </w:p>
    <w:p w14:paraId="1962021D" w14:textId="6A7F1E8C" w:rsidR="00FF229D" w:rsidRPr="00FF229D" w:rsidRDefault="00FF229D" w:rsidP="00FF229D">
      <w:pPr>
        <w:rPr>
          <w:lang w:val="en-GB"/>
        </w:rPr>
      </w:pPr>
      <w:r w:rsidRPr="00FF229D">
        <w:rPr>
          <w:lang w:val="en-GB"/>
        </w:rPr>
        <w:t xml:space="preserve">Employers should ensure they hold the relevant registration(s) and/or licence(s), if any, required by the relevant regulatory body and/or legislation, as relating to employment of any trades job employees through the Jobs Victoria Fund. </w:t>
      </w:r>
    </w:p>
    <w:p w14:paraId="5FF7D811" w14:textId="29C3D85F" w:rsidR="00FF229D" w:rsidRPr="00FF229D" w:rsidRDefault="00FF229D" w:rsidP="00FF229D">
      <w:pPr>
        <w:rPr>
          <w:lang w:val="en-GB"/>
        </w:rPr>
      </w:pPr>
      <w:r w:rsidRPr="00FF229D">
        <w:rPr>
          <w:lang w:val="en-GB"/>
        </w:rPr>
        <w:t>It is also the responsibility of the employer to ensure that all of its trades job employees employed in connection with projects funded through the Jobs Victoria Fund hold the relevant qualification(s), registration(s) and/or licence(s) as required by the relevant regulatory body and under applicable Acts and/or Regulations.</w:t>
      </w:r>
    </w:p>
    <w:p w14:paraId="4228F398" w14:textId="5950837C" w:rsidR="00FF229D" w:rsidRPr="00FF229D" w:rsidRDefault="00FF229D" w:rsidP="00FF229D">
      <w:pPr>
        <w:rPr>
          <w:lang w:val="en-GB"/>
        </w:rPr>
      </w:pPr>
      <w:r w:rsidRPr="00FF229D">
        <w:rPr>
          <w:lang w:val="en-GB"/>
        </w:rPr>
        <w:t>For further advice or assistance regarding trades job requirements for the employer organisation or project employee, please refer to the relevant trade regulatory body for more information.</w:t>
      </w:r>
    </w:p>
    <w:p w14:paraId="3C06F287" w14:textId="1B84CB49" w:rsidR="00FF229D" w:rsidRPr="00FF229D" w:rsidRDefault="00FF229D" w:rsidP="00126842">
      <w:pPr>
        <w:pStyle w:val="Heading1"/>
        <w:numPr>
          <w:ilvl w:val="0"/>
          <w:numId w:val="3"/>
        </w:numPr>
        <w:rPr>
          <w:lang w:val="en-GB"/>
        </w:rPr>
      </w:pPr>
      <w:bookmarkStart w:id="51" w:name="_Toc67585387"/>
      <w:r w:rsidRPr="00FF229D">
        <w:rPr>
          <w:lang w:val="en-GB"/>
        </w:rPr>
        <w:t>Contact and further information</w:t>
      </w:r>
      <w:bookmarkEnd w:id="51"/>
    </w:p>
    <w:p w14:paraId="7192EC13" w14:textId="77777777" w:rsidR="00FF229D" w:rsidRPr="00FF229D" w:rsidRDefault="00FF229D" w:rsidP="00FF229D">
      <w:pPr>
        <w:rPr>
          <w:lang w:val="en-GB"/>
        </w:rPr>
      </w:pPr>
      <w:r w:rsidRPr="00FF229D">
        <w:rPr>
          <w:lang w:val="en-GB"/>
        </w:rPr>
        <w:t>For more information about the Jobs Victoria Fund, or to discuss any specific queries, please contact the Department.</w:t>
      </w:r>
    </w:p>
    <w:p w14:paraId="2C77763C" w14:textId="2A99F10E" w:rsidR="00FF229D" w:rsidRPr="00FF229D" w:rsidRDefault="00FF229D" w:rsidP="0043282A">
      <w:pPr>
        <w:pStyle w:val="Bullet"/>
        <w:rPr>
          <w:lang w:val="en-GB"/>
        </w:rPr>
      </w:pPr>
      <w:r w:rsidRPr="00FF229D">
        <w:rPr>
          <w:lang w:val="en-GB"/>
        </w:rPr>
        <w:t xml:space="preserve">Jobs Victoria </w:t>
      </w:r>
      <w:hyperlink r:id="rId36" w:history="1">
        <w:r w:rsidRPr="00F65E50">
          <w:rPr>
            <w:rStyle w:val="Hyperlink"/>
            <w:b/>
            <w:bCs/>
            <w:lang w:val="en-GB"/>
          </w:rPr>
          <w:t>website</w:t>
        </w:r>
      </w:hyperlink>
    </w:p>
    <w:p w14:paraId="7DFFB3D6" w14:textId="0BF260C1" w:rsidR="00FF229D" w:rsidRPr="0043282A" w:rsidRDefault="00FF229D" w:rsidP="0043282A">
      <w:pPr>
        <w:pStyle w:val="Bullet"/>
        <w:rPr>
          <w:lang w:val="en-GB"/>
        </w:rPr>
      </w:pPr>
      <w:r w:rsidRPr="00FF229D">
        <w:rPr>
          <w:lang w:val="en-GB"/>
        </w:rPr>
        <w:t xml:space="preserve">Email: </w:t>
      </w:r>
      <w:hyperlink r:id="rId37" w:history="1">
        <w:r w:rsidR="0043282A" w:rsidRPr="00C769D8">
          <w:rPr>
            <w:rStyle w:val="Hyperlink"/>
            <w:b/>
            <w:bCs/>
            <w:lang w:val="en-GB"/>
          </w:rPr>
          <w:t>info@jobs.vic.gov.au</w:t>
        </w:r>
      </w:hyperlink>
    </w:p>
    <w:p w14:paraId="55A302FD" w14:textId="77777777" w:rsidR="00FF229D" w:rsidRPr="0043282A" w:rsidRDefault="00FF229D" w:rsidP="0043282A">
      <w:pPr>
        <w:pStyle w:val="Bullet"/>
        <w:rPr>
          <w:lang w:val="en-GB"/>
        </w:rPr>
      </w:pPr>
      <w:r w:rsidRPr="0043282A">
        <w:rPr>
          <w:lang w:val="en-GB"/>
        </w:rPr>
        <w:t>Phone: 1300 208 575</w:t>
      </w:r>
    </w:p>
    <w:p w14:paraId="69B693A0" w14:textId="77777777" w:rsidR="00FF229D" w:rsidRPr="00FF229D" w:rsidRDefault="00FF229D" w:rsidP="00FF229D">
      <w:pPr>
        <w:rPr>
          <w:lang w:val="en-GB"/>
        </w:rPr>
      </w:pPr>
      <w:r w:rsidRPr="00FF229D">
        <w:rPr>
          <w:lang w:val="en-GB"/>
        </w:rPr>
        <w:t xml:space="preserve">Please note that engagement with the Department or any Victorian Government representative does not constitute endorsement of any application for funding. </w:t>
      </w:r>
    </w:p>
    <w:p w14:paraId="6B84D0B2" w14:textId="40FCFFF5" w:rsidR="00FF229D" w:rsidRPr="00FF229D" w:rsidRDefault="00FF229D" w:rsidP="0043220F">
      <w:pPr>
        <w:pStyle w:val="Heading1"/>
        <w:rPr>
          <w:lang w:val="en-GB"/>
        </w:rPr>
      </w:pPr>
      <w:bookmarkStart w:id="52" w:name="_Appendix_A_–"/>
      <w:bookmarkStart w:id="53" w:name="_Toc67585388"/>
      <w:bookmarkEnd w:id="52"/>
      <w:r w:rsidRPr="00FF229D">
        <w:rPr>
          <w:lang w:val="en-GB"/>
        </w:rPr>
        <w:lastRenderedPageBreak/>
        <w:t>Appendix A – Recruitment supports</w:t>
      </w:r>
      <w:bookmarkEnd w:id="53"/>
    </w:p>
    <w:p w14:paraId="61472B8E" w14:textId="77777777" w:rsidR="00FF229D" w:rsidRPr="00FF229D" w:rsidRDefault="00FF229D" w:rsidP="00FF229D">
      <w:pPr>
        <w:rPr>
          <w:lang w:val="en-GB"/>
        </w:rPr>
      </w:pPr>
      <w:r w:rsidRPr="00FF229D">
        <w:rPr>
          <w:lang w:val="en-GB"/>
        </w:rPr>
        <w:t xml:space="preserve">A range of supports are available to employers to help them recruit eligible employees. These are detailed below. </w:t>
      </w:r>
    </w:p>
    <w:p w14:paraId="025EE033" w14:textId="77777777" w:rsidR="00FF229D" w:rsidRPr="00FF229D" w:rsidRDefault="00FF229D" w:rsidP="00FF229D">
      <w:pPr>
        <w:rPr>
          <w:lang w:val="en-GB"/>
        </w:rPr>
      </w:pPr>
      <w:r w:rsidRPr="00FF229D">
        <w:rPr>
          <w:lang w:val="en-GB"/>
        </w:rPr>
        <w:t>Use of the sources outlined below is at the discretion of the applicant.</w:t>
      </w:r>
    </w:p>
    <w:p w14:paraId="0CCBB070" w14:textId="77777777" w:rsidR="00FF229D" w:rsidRPr="00FF229D" w:rsidRDefault="00FF229D" w:rsidP="004E39BA">
      <w:pPr>
        <w:pStyle w:val="Heading2"/>
        <w:rPr>
          <w:lang w:val="en-GB"/>
        </w:rPr>
      </w:pPr>
      <w:bookmarkStart w:id="54" w:name="_Toc67585389"/>
      <w:r w:rsidRPr="00FF229D">
        <w:rPr>
          <w:lang w:val="en-GB"/>
        </w:rPr>
        <w:t>1.</w:t>
      </w:r>
      <w:r w:rsidRPr="00FF229D">
        <w:rPr>
          <w:lang w:val="en-GB"/>
        </w:rPr>
        <w:tab/>
        <w:t xml:space="preserve">Jobs </w:t>
      </w:r>
      <w:r w:rsidRPr="004E39BA">
        <w:t>Victoria</w:t>
      </w:r>
      <w:r w:rsidRPr="00FF229D">
        <w:rPr>
          <w:lang w:val="en-GB"/>
        </w:rPr>
        <w:t xml:space="preserve"> Online Hub</w:t>
      </w:r>
      <w:bookmarkEnd w:id="54"/>
    </w:p>
    <w:p w14:paraId="7D3C7D19" w14:textId="77777777" w:rsidR="00FF229D" w:rsidRPr="00FF229D" w:rsidRDefault="00FF229D" w:rsidP="00FF229D">
      <w:pPr>
        <w:rPr>
          <w:lang w:val="en-GB"/>
        </w:rPr>
      </w:pPr>
      <w:r w:rsidRPr="00FF229D">
        <w:rPr>
          <w:lang w:val="en-GB"/>
        </w:rPr>
        <w:t xml:space="preserve">The Jobs Victoria online hub matches people looking for work with employers seeking a local, </w:t>
      </w:r>
      <w:proofErr w:type="spellStart"/>
      <w:r w:rsidRPr="00FF229D">
        <w:rPr>
          <w:lang w:val="en-GB"/>
        </w:rPr>
        <w:t>jobready</w:t>
      </w:r>
      <w:proofErr w:type="spellEnd"/>
      <w:r w:rsidRPr="00FF229D">
        <w:rPr>
          <w:lang w:val="en-GB"/>
        </w:rPr>
        <w:t xml:space="preserve"> workforce. With a large number of people seeking employment on the platform across Victoria, employers can register to advertise jobs. Once your registration has been processed:</w:t>
      </w:r>
    </w:p>
    <w:p w14:paraId="149812B3" w14:textId="77777777" w:rsidR="00FF229D" w:rsidRPr="00FF229D" w:rsidRDefault="00FF229D" w:rsidP="00AD026A">
      <w:pPr>
        <w:pStyle w:val="Bullet"/>
        <w:rPr>
          <w:lang w:val="en-GB"/>
        </w:rPr>
      </w:pPr>
      <w:r w:rsidRPr="00FF229D">
        <w:rPr>
          <w:lang w:val="en-GB"/>
        </w:rPr>
        <w:t>Jobs Victoria will contact you to help you set up your account.</w:t>
      </w:r>
    </w:p>
    <w:p w14:paraId="29121380" w14:textId="77777777" w:rsidR="00FF229D" w:rsidRPr="00FF229D" w:rsidRDefault="00FF229D" w:rsidP="00AD026A">
      <w:pPr>
        <w:pStyle w:val="Bullet"/>
        <w:rPr>
          <w:lang w:val="en-GB"/>
        </w:rPr>
      </w:pPr>
      <w:r w:rsidRPr="00FF229D">
        <w:rPr>
          <w:lang w:val="en-GB"/>
        </w:rPr>
        <w:t>You can create your company profile with logo, overview and links to your website.</w:t>
      </w:r>
    </w:p>
    <w:p w14:paraId="3582F15D" w14:textId="77777777" w:rsidR="00FF229D" w:rsidRPr="00FF229D" w:rsidRDefault="00FF229D" w:rsidP="00AD026A">
      <w:pPr>
        <w:pStyle w:val="Bullet"/>
        <w:rPr>
          <w:lang w:val="en-GB"/>
        </w:rPr>
      </w:pPr>
      <w:r w:rsidRPr="00FF229D">
        <w:rPr>
          <w:lang w:val="en-GB"/>
        </w:rPr>
        <w:t>You can then start posting jobs on the online platform.</w:t>
      </w:r>
    </w:p>
    <w:p w14:paraId="7B724AC8" w14:textId="648A817D" w:rsidR="00FF229D" w:rsidRPr="00FF229D" w:rsidRDefault="00FF229D" w:rsidP="00FF229D">
      <w:pPr>
        <w:rPr>
          <w:lang w:val="en-GB"/>
        </w:rPr>
      </w:pPr>
      <w:r w:rsidRPr="00FF229D">
        <w:rPr>
          <w:lang w:val="en-GB"/>
        </w:rPr>
        <w:t xml:space="preserve">To register, please visit </w:t>
      </w:r>
      <w:hyperlink r:id="rId38" w:history="1">
        <w:r w:rsidRPr="00FF229D">
          <w:rPr>
            <w:rStyle w:val="Hyperlink"/>
            <w:b/>
            <w:bCs/>
            <w:lang w:val="en-GB"/>
          </w:rPr>
          <w:t>Jobs Victoria</w:t>
        </w:r>
      </w:hyperlink>
      <w:r w:rsidRPr="00FF229D">
        <w:rPr>
          <w:lang w:val="en-GB"/>
        </w:rPr>
        <w:t xml:space="preserve">. </w:t>
      </w:r>
    </w:p>
    <w:p w14:paraId="6AABDE3A" w14:textId="77777777" w:rsidR="00FF229D" w:rsidRPr="00FF229D" w:rsidRDefault="00FF229D" w:rsidP="004E39BA">
      <w:pPr>
        <w:pStyle w:val="Heading2"/>
        <w:rPr>
          <w:lang w:val="en-GB"/>
        </w:rPr>
      </w:pPr>
      <w:bookmarkStart w:id="55" w:name="_Toc67585390"/>
      <w:r w:rsidRPr="00FF229D">
        <w:rPr>
          <w:lang w:val="en-GB"/>
        </w:rPr>
        <w:t>2.</w:t>
      </w:r>
      <w:r w:rsidRPr="00FF229D">
        <w:rPr>
          <w:lang w:val="en-GB"/>
        </w:rPr>
        <w:tab/>
        <w:t>Jobs Victoria Partners</w:t>
      </w:r>
      <w:bookmarkEnd w:id="55"/>
    </w:p>
    <w:p w14:paraId="5E7955C6" w14:textId="77777777" w:rsidR="00FF229D" w:rsidRPr="00FF229D" w:rsidRDefault="00FF229D" w:rsidP="00FF229D">
      <w:pPr>
        <w:rPr>
          <w:lang w:val="en-GB"/>
        </w:rPr>
      </w:pPr>
      <w:r w:rsidRPr="00FF229D">
        <w:rPr>
          <w:lang w:val="en-GB"/>
        </w:rPr>
        <w:t>Jobs Victoria Partners are organisations that have received funding through Jobs Victoria to deliver employment related services on behalf of the Victorian Government.</w:t>
      </w:r>
    </w:p>
    <w:p w14:paraId="6FDC6CAF" w14:textId="1483BA8E" w:rsidR="00FF229D" w:rsidRPr="00FF229D" w:rsidRDefault="00FF229D" w:rsidP="00FF229D">
      <w:pPr>
        <w:rPr>
          <w:lang w:val="en-GB"/>
        </w:rPr>
      </w:pPr>
      <w:r w:rsidRPr="00FF229D">
        <w:rPr>
          <w:lang w:val="en-GB"/>
        </w:rPr>
        <w:t>Jobs Victoria Partners deliver pre-employment support to jobseekers and place them in work with suitable employers. They work closely with employers to assist them in meeting their recruitment needs. Post-placement support is provided to both the employer and the jobseeker to help each job stick. All engagement between Jobs Victoria Partners, jobseekers and employers are voluntary.</w:t>
      </w:r>
    </w:p>
    <w:p w14:paraId="76427B05" w14:textId="6D552481" w:rsidR="00FF229D" w:rsidRPr="00FF229D" w:rsidRDefault="00FF229D" w:rsidP="00FF229D">
      <w:pPr>
        <w:rPr>
          <w:lang w:val="en-GB"/>
        </w:rPr>
      </w:pPr>
      <w:r w:rsidRPr="00FF229D">
        <w:rPr>
          <w:lang w:val="en-GB"/>
        </w:rPr>
        <w:t xml:space="preserve">Employers can search for their local </w:t>
      </w:r>
      <w:hyperlink r:id="rId39" w:history="1">
        <w:r w:rsidRPr="00FF229D">
          <w:rPr>
            <w:rStyle w:val="Hyperlink"/>
            <w:b/>
            <w:bCs/>
            <w:lang w:val="en-GB"/>
          </w:rPr>
          <w:t>Jobs Victoria Partner</w:t>
        </w:r>
      </w:hyperlink>
      <w:r w:rsidRPr="00FF229D">
        <w:rPr>
          <w:lang w:val="en-GB"/>
        </w:rPr>
        <w:t xml:space="preserve"> and contact them directly or contact the Jobs Victoria hotline on 1300 208 575.</w:t>
      </w:r>
    </w:p>
    <w:p w14:paraId="6F765BFC" w14:textId="77777777" w:rsidR="00FF229D" w:rsidRPr="00FF229D" w:rsidRDefault="00FF229D" w:rsidP="004E39BA">
      <w:pPr>
        <w:pStyle w:val="Heading2"/>
        <w:rPr>
          <w:lang w:val="en-GB"/>
        </w:rPr>
      </w:pPr>
      <w:bookmarkStart w:id="56" w:name="_Toc67585391"/>
      <w:r w:rsidRPr="00FF229D">
        <w:rPr>
          <w:lang w:val="en-GB"/>
        </w:rPr>
        <w:t>3.</w:t>
      </w:r>
      <w:r w:rsidRPr="00FF229D">
        <w:rPr>
          <w:lang w:val="en-GB"/>
        </w:rPr>
        <w:tab/>
        <w:t>Aboriginal employment</w:t>
      </w:r>
      <w:bookmarkEnd w:id="56"/>
      <w:r w:rsidRPr="00FF229D">
        <w:rPr>
          <w:lang w:val="en-GB"/>
        </w:rPr>
        <w:t xml:space="preserve"> </w:t>
      </w:r>
    </w:p>
    <w:p w14:paraId="2AB3C56A" w14:textId="77777777" w:rsidR="00FF229D" w:rsidRPr="00FF229D" w:rsidRDefault="00FF229D" w:rsidP="00FF229D">
      <w:pPr>
        <w:rPr>
          <w:lang w:val="en-GB"/>
        </w:rPr>
      </w:pPr>
      <w:r w:rsidRPr="00FF229D">
        <w:rPr>
          <w:lang w:val="en-GB"/>
        </w:rPr>
        <w:t xml:space="preserve">The Victorian Government has a commitment to Aboriginal self-determination and welcomes applications from Aboriginal Community Controlled Organisations, Traditional Owner groups and Aboriginal businesses. The Department recognises that more Aboriginal led employment service providers </w:t>
      </w:r>
      <w:proofErr w:type="gramStart"/>
      <w:r w:rsidRPr="00FF229D">
        <w:rPr>
          <w:lang w:val="en-GB"/>
        </w:rPr>
        <w:t>supports</w:t>
      </w:r>
      <w:proofErr w:type="gramEnd"/>
      <w:r w:rsidRPr="00FF229D">
        <w:rPr>
          <w:lang w:val="en-GB"/>
        </w:rPr>
        <w:t xml:space="preserve"> better employment outcomes through addressing local challenges and opportunities, particularly for young Aboriginal people. </w:t>
      </w:r>
    </w:p>
    <w:p w14:paraId="4DA93884" w14:textId="77777777" w:rsidR="00FF229D" w:rsidRPr="00FF229D" w:rsidRDefault="00FF229D" w:rsidP="00FF229D">
      <w:pPr>
        <w:rPr>
          <w:lang w:val="en-GB"/>
        </w:rPr>
      </w:pPr>
      <w:r w:rsidRPr="00FF229D">
        <w:rPr>
          <w:lang w:val="en-GB"/>
        </w:rPr>
        <w:t>Non-Aboriginal organisations are also encouraged to apply and partner with the Aboriginal community to facilitate employment outcomes for Aboriginal jobseekers.</w:t>
      </w:r>
    </w:p>
    <w:p w14:paraId="6FEA04F4" w14:textId="2E460808" w:rsidR="00FF229D" w:rsidRPr="00FF229D" w:rsidRDefault="00FF229D" w:rsidP="00FF229D">
      <w:pPr>
        <w:rPr>
          <w:lang w:val="en-GB"/>
        </w:rPr>
      </w:pPr>
      <w:r w:rsidRPr="00FF229D">
        <w:rPr>
          <w:lang w:val="en-GB"/>
        </w:rPr>
        <w:t>Employers that provide a culturally safe workplace for Aboriginal employees are encouraged to apply to the Fund. A culturally safe workplace will be able to demonstrate that:</w:t>
      </w:r>
    </w:p>
    <w:p w14:paraId="7FCCFF25" w14:textId="77777777" w:rsidR="00FF229D" w:rsidRPr="00FF229D" w:rsidRDefault="00FF229D" w:rsidP="00463C66">
      <w:pPr>
        <w:pStyle w:val="Bullet"/>
        <w:rPr>
          <w:lang w:val="en-GB"/>
        </w:rPr>
      </w:pPr>
      <w:r w:rsidRPr="00FF229D">
        <w:rPr>
          <w:lang w:val="en-GB"/>
        </w:rPr>
        <w:t>their organisation is culturally safe for Aboriginal workers and community.</w:t>
      </w:r>
    </w:p>
    <w:p w14:paraId="76652E0B" w14:textId="77777777" w:rsidR="00FF229D" w:rsidRPr="00FF229D" w:rsidRDefault="00FF229D" w:rsidP="00463C66">
      <w:pPr>
        <w:pStyle w:val="Bullet"/>
        <w:rPr>
          <w:lang w:val="en-GB"/>
        </w:rPr>
      </w:pPr>
      <w:r w:rsidRPr="00FF229D">
        <w:rPr>
          <w:lang w:val="en-GB"/>
        </w:rPr>
        <w:t xml:space="preserve">they are well connected to their local Aboriginal community. </w:t>
      </w:r>
    </w:p>
    <w:p w14:paraId="22A442BA" w14:textId="77777777" w:rsidR="00FF229D" w:rsidRPr="00FF229D" w:rsidRDefault="00FF229D" w:rsidP="00463C66">
      <w:pPr>
        <w:pStyle w:val="Bullet"/>
        <w:rPr>
          <w:lang w:val="en-GB"/>
        </w:rPr>
      </w:pPr>
      <w:r w:rsidRPr="00FF229D">
        <w:rPr>
          <w:lang w:val="en-GB"/>
        </w:rPr>
        <w:t>they respond to the identified needs of Aboriginal people.</w:t>
      </w:r>
    </w:p>
    <w:p w14:paraId="12A08E3F" w14:textId="77777777" w:rsidR="00FF229D" w:rsidRPr="00FF229D" w:rsidRDefault="00FF229D" w:rsidP="00463C66">
      <w:pPr>
        <w:pStyle w:val="Bullet"/>
        <w:rPr>
          <w:lang w:val="en-GB"/>
        </w:rPr>
      </w:pPr>
      <w:r w:rsidRPr="00FF229D">
        <w:rPr>
          <w:lang w:val="en-GB"/>
        </w:rPr>
        <w:t>they are accessible to Aboriginal people and communities.</w:t>
      </w:r>
    </w:p>
    <w:p w14:paraId="347DD4F7" w14:textId="77777777" w:rsidR="00FF229D" w:rsidRPr="00FF229D" w:rsidRDefault="00FF229D" w:rsidP="00463C66">
      <w:pPr>
        <w:pStyle w:val="Bullet"/>
        <w:rPr>
          <w:lang w:val="en-GB"/>
        </w:rPr>
      </w:pPr>
      <w:r w:rsidRPr="00FF229D">
        <w:rPr>
          <w:lang w:val="en-GB"/>
        </w:rPr>
        <w:t>they work in a culturally safe and appropriate manner.</w:t>
      </w:r>
    </w:p>
    <w:p w14:paraId="5A5FC58C" w14:textId="3FFB2D2B" w:rsidR="00FF229D" w:rsidRPr="00FF229D" w:rsidRDefault="00FF229D" w:rsidP="00FF229D">
      <w:pPr>
        <w:rPr>
          <w:b/>
          <w:bCs/>
          <w:lang w:val="en-GB"/>
        </w:rPr>
      </w:pPr>
      <w:r w:rsidRPr="00FF229D">
        <w:rPr>
          <w:lang w:val="en-GB"/>
        </w:rPr>
        <w:t xml:space="preserve">A staff member from the Department is available to assist you with enquiries in the area of recruitment, training, induction, onboarding and Aboriginal community stakeholder engagement if needed. Please contact </w:t>
      </w:r>
      <w:hyperlink r:id="rId40" w:history="1">
        <w:r w:rsidR="00125F18" w:rsidRPr="00FF229D">
          <w:rPr>
            <w:rStyle w:val="Hyperlink"/>
            <w:b/>
            <w:bCs/>
            <w:lang w:val="en-GB"/>
          </w:rPr>
          <w:t>info@jobs.vic.gov.au</w:t>
        </w:r>
      </w:hyperlink>
      <w:r w:rsidR="00125F18" w:rsidRPr="00125F18">
        <w:rPr>
          <w:lang w:val="en-GB"/>
        </w:rPr>
        <w:t>.</w:t>
      </w:r>
      <w:r w:rsidRPr="00FF229D">
        <w:rPr>
          <w:lang w:val="en-GB"/>
        </w:rPr>
        <w:t xml:space="preserve"> </w:t>
      </w:r>
    </w:p>
    <w:p w14:paraId="1FB4BF67" w14:textId="6E7CBE85" w:rsidR="00FF229D" w:rsidRPr="00FF229D" w:rsidRDefault="00FF229D" w:rsidP="00463C66">
      <w:pPr>
        <w:pStyle w:val="Heading1"/>
        <w:rPr>
          <w:lang w:val="en-GB"/>
        </w:rPr>
      </w:pPr>
      <w:bookmarkStart w:id="57" w:name="_Toc67585392"/>
      <w:r w:rsidRPr="00FF229D">
        <w:rPr>
          <w:lang w:val="en-GB"/>
        </w:rPr>
        <w:lastRenderedPageBreak/>
        <w:t>Appendix B – Definitions</w:t>
      </w:r>
      <w:bookmarkEnd w:id="57"/>
      <w:r w:rsidRPr="00FF229D">
        <w:rPr>
          <w:lang w:val="en-GB"/>
        </w:rPr>
        <w:t xml:space="preserve"> </w:t>
      </w:r>
    </w:p>
    <w:tbl>
      <w:tblPr>
        <w:tblStyle w:val="PlainTable2"/>
        <w:tblW w:w="10632" w:type="dxa"/>
        <w:tblLayout w:type="fixed"/>
        <w:tblLook w:val="0000" w:firstRow="0" w:lastRow="0" w:firstColumn="0" w:lastColumn="0" w:noHBand="0" w:noVBand="0"/>
      </w:tblPr>
      <w:tblGrid>
        <w:gridCol w:w="2339"/>
        <w:gridCol w:w="8293"/>
      </w:tblGrid>
      <w:tr w:rsidR="00FF229D" w:rsidRPr="00FF229D" w14:paraId="0F9D423D" w14:textId="77777777" w:rsidTr="00A31FF2">
        <w:trPr>
          <w:cantSplit/>
          <w:trHeight w:val="113"/>
          <w:tblHeader/>
        </w:trPr>
        <w:tc>
          <w:tcPr>
            <w:cnfStyle w:val="000010000000" w:firstRow="0" w:lastRow="0" w:firstColumn="0" w:lastColumn="0" w:oddVBand="1" w:evenVBand="0" w:oddHBand="0" w:evenHBand="0" w:firstRowFirstColumn="0" w:firstRowLastColumn="0" w:lastRowFirstColumn="0" w:lastRowLastColumn="0"/>
            <w:tcW w:w="2339" w:type="dxa"/>
            <w:tcBorders>
              <w:top w:val="single" w:sz="2" w:space="0" w:color="auto"/>
              <w:left w:val="single" w:sz="2" w:space="0" w:color="auto"/>
              <w:bottom w:val="single" w:sz="2" w:space="0" w:color="auto"/>
              <w:right w:val="single" w:sz="2" w:space="0" w:color="auto"/>
            </w:tcBorders>
          </w:tcPr>
          <w:p w14:paraId="741F879D" w14:textId="77777777" w:rsidR="00FF229D" w:rsidRPr="00FF229D" w:rsidRDefault="00FF229D" w:rsidP="00463C66">
            <w:pPr>
              <w:pStyle w:val="TableHeading"/>
              <w:rPr>
                <w:lang w:val="en-GB"/>
              </w:rPr>
            </w:pPr>
            <w:r w:rsidRPr="00FF229D">
              <w:rPr>
                <w:lang w:val="en-GB"/>
              </w:rPr>
              <w:t>Term</w:t>
            </w:r>
          </w:p>
        </w:tc>
        <w:tc>
          <w:tcPr>
            <w:cnfStyle w:val="000001000000" w:firstRow="0" w:lastRow="0" w:firstColumn="0" w:lastColumn="0" w:oddVBand="0" w:evenVBand="1" w:oddHBand="0" w:evenHBand="0" w:firstRowFirstColumn="0" w:firstRowLastColumn="0" w:lastRowFirstColumn="0" w:lastRowLastColumn="0"/>
            <w:tcW w:w="8293" w:type="dxa"/>
            <w:tcBorders>
              <w:top w:val="single" w:sz="2" w:space="0" w:color="auto"/>
              <w:left w:val="single" w:sz="2" w:space="0" w:color="auto"/>
              <w:bottom w:val="single" w:sz="2" w:space="0" w:color="auto"/>
              <w:right w:val="single" w:sz="2" w:space="0" w:color="auto"/>
            </w:tcBorders>
          </w:tcPr>
          <w:p w14:paraId="78A290E3" w14:textId="77777777" w:rsidR="00FF229D" w:rsidRPr="00FF229D" w:rsidRDefault="00FF229D" w:rsidP="00463C66">
            <w:pPr>
              <w:pStyle w:val="TableHeading"/>
              <w:rPr>
                <w:lang w:val="en-GB"/>
              </w:rPr>
            </w:pPr>
            <w:r w:rsidRPr="00FF229D">
              <w:rPr>
                <w:lang w:val="en-GB"/>
              </w:rPr>
              <w:t>Definition</w:t>
            </w:r>
          </w:p>
        </w:tc>
      </w:tr>
      <w:tr w:rsidR="00FF229D" w:rsidRPr="00FF229D" w14:paraId="4A47D9DB" w14:textId="77777777" w:rsidTr="00A31FF2">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Borders>
              <w:top w:val="single" w:sz="2" w:space="0" w:color="auto"/>
            </w:tcBorders>
          </w:tcPr>
          <w:p w14:paraId="1F02D5AF" w14:textId="77777777" w:rsidR="00FF229D" w:rsidRPr="00FF229D" w:rsidRDefault="00FF229D" w:rsidP="00463C66">
            <w:pPr>
              <w:pStyle w:val="TableHeading"/>
              <w:rPr>
                <w:lang w:val="en-GB"/>
              </w:rPr>
            </w:pPr>
            <w:r w:rsidRPr="00FF229D">
              <w:rPr>
                <w:lang w:val="en-GB"/>
              </w:rPr>
              <w:t>Australian Charities and Not-for-profits Commission (ACNC)</w:t>
            </w:r>
          </w:p>
        </w:tc>
        <w:tc>
          <w:tcPr>
            <w:cnfStyle w:val="000001000000" w:firstRow="0" w:lastRow="0" w:firstColumn="0" w:lastColumn="0" w:oddVBand="0" w:evenVBand="1" w:oddHBand="0" w:evenHBand="0" w:firstRowFirstColumn="0" w:firstRowLastColumn="0" w:lastRowFirstColumn="0" w:lastRowLastColumn="0"/>
            <w:tcW w:w="8293" w:type="dxa"/>
            <w:tcBorders>
              <w:top w:val="single" w:sz="2" w:space="0" w:color="auto"/>
            </w:tcBorders>
          </w:tcPr>
          <w:p w14:paraId="4ACC64E7" w14:textId="77777777" w:rsidR="00FF229D" w:rsidRPr="00FF229D" w:rsidRDefault="00FF229D" w:rsidP="00463C66">
            <w:pPr>
              <w:pStyle w:val="TableCopy"/>
              <w:rPr>
                <w:lang w:val="en-GB"/>
              </w:rPr>
            </w:pPr>
            <w:r w:rsidRPr="00FF229D">
              <w:rPr>
                <w:lang w:val="en-GB"/>
              </w:rPr>
              <w:t>The national regulator of charities. The ACNC:</w:t>
            </w:r>
          </w:p>
          <w:p w14:paraId="1E47D2F4" w14:textId="77777777" w:rsidR="00FF229D" w:rsidRPr="00FF229D" w:rsidRDefault="00FF229D" w:rsidP="00463C66">
            <w:pPr>
              <w:pStyle w:val="TableBullet"/>
              <w:rPr>
                <w:lang w:val="en-GB"/>
              </w:rPr>
            </w:pPr>
            <w:r w:rsidRPr="00FF229D">
              <w:rPr>
                <w:lang w:val="en-GB"/>
              </w:rPr>
              <w:t>registers organisations as charities</w:t>
            </w:r>
          </w:p>
          <w:p w14:paraId="447496BC" w14:textId="77777777" w:rsidR="00FF229D" w:rsidRPr="00FF229D" w:rsidRDefault="00FF229D" w:rsidP="00463C66">
            <w:pPr>
              <w:pStyle w:val="TableBullet"/>
              <w:rPr>
                <w:lang w:val="en-GB"/>
              </w:rPr>
            </w:pPr>
            <w:r w:rsidRPr="00FF229D">
              <w:rPr>
                <w:lang w:val="en-GB"/>
              </w:rPr>
              <w:t xml:space="preserve">helps charities understand and meet their obligations </w:t>
            </w:r>
          </w:p>
          <w:p w14:paraId="47C777B3" w14:textId="77777777" w:rsidR="00FF229D" w:rsidRPr="00FF229D" w:rsidRDefault="00FF229D" w:rsidP="00463C66">
            <w:pPr>
              <w:pStyle w:val="TableBullet"/>
              <w:rPr>
                <w:lang w:val="en-GB"/>
              </w:rPr>
            </w:pPr>
            <w:r w:rsidRPr="00FF229D">
              <w:rPr>
                <w:lang w:val="en-GB"/>
              </w:rPr>
              <w:t>helps the public understand the work of the not-for profit sector.</w:t>
            </w:r>
          </w:p>
        </w:tc>
      </w:tr>
      <w:tr w:rsidR="00FF229D" w:rsidRPr="00FF229D" w14:paraId="11F59D06"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17D7981" w14:textId="77777777" w:rsidR="00FF229D" w:rsidRPr="00FF229D" w:rsidRDefault="00FF229D" w:rsidP="00463C66">
            <w:pPr>
              <w:pStyle w:val="TableHeading"/>
              <w:rPr>
                <w:lang w:val="en-GB"/>
              </w:rPr>
            </w:pPr>
            <w:r w:rsidRPr="00FF229D">
              <w:rPr>
                <w:lang w:val="en-GB"/>
              </w:rPr>
              <w:t>Applicant</w:t>
            </w:r>
          </w:p>
        </w:tc>
        <w:tc>
          <w:tcPr>
            <w:cnfStyle w:val="000001000000" w:firstRow="0" w:lastRow="0" w:firstColumn="0" w:lastColumn="0" w:oddVBand="0" w:evenVBand="1" w:oddHBand="0" w:evenHBand="0" w:firstRowFirstColumn="0" w:firstRowLastColumn="0" w:lastRowFirstColumn="0" w:lastRowLastColumn="0"/>
            <w:tcW w:w="8293" w:type="dxa"/>
          </w:tcPr>
          <w:p w14:paraId="05AB26A1" w14:textId="77777777" w:rsidR="00FF229D" w:rsidRPr="00FF229D" w:rsidRDefault="00FF229D" w:rsidP="00463C66">
            <w:pPr>
              <w:pStyle w:val="TableCopy"/>
              <w:rPr>
                <w:lang w:val="en-GB"/>
              </w:rPr>
            </w:pPr>
            <w:r w:rsidRPr="00FF229D">
              <w:rPr>
                <w:lang w:val="en-GB"/>
              </w:rPr>
              <w:t xml:space="preserve">An employer that applies to the Jobs Victoria Fund for wage subsidies. </w:t>
            </w:r>
          </w:p>
        </w:tc>
      </w:tr>
      <w:tr w:rsidR="00FF229D" w:rsidRPr="00FF229D" w14:paraId="4F6AB00B"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16959AF1" w14:textId="77777777" w:rsidR="00FF229D" w:rsidRPr="00FF229D" w:rsidRDefault="00FF229D" w:rsidP="00463C66">
            <w:pPr>
              <w:pStyle w:val="TableHeading"/>
              <w:rPr>
                <w:lang w:val="en-GB"/>
              </w:rPr>
            </w:pPr>
            <w:r w:rsidRPr="00FF229D">
              <w:rPr>
                <w:lang w:val="en-GB"/>
              </w:rPr>
              <w:t>Audit (Independent audit)</w:t>
            </w:r>
          </w:p>
        </w:tc>
        <w:tc>
          <w:tcPr>
            <w:cnfStyle w:val="000001000000" w:firstRow="0" w:lastRow="0" w:firstColumn="0" w:lastColumn="0" w:oddVBand="0" w:evenVBand="1" w:oddHBand="0" w:evenHBand="0" w:firstRowFirstColumn="0" w:firstRowLastColumn="0" w:lastRowFirstColumn="0" w:lastRowLastColumn="0"/>
            <w:tcW w:w="8293" w:type="dxa"/>
          </w:tcPr>
          <w:p w14:paraId="0465C607" w14:textId="16641324" w:rsidR="00FF229D" w:rsidRPr="00FF229D" w:rsidRDefault="00FF229D" w:rsidP="00463C66">
            <w:pPr>
              <w:pStyle w:val="TableCopy"/>
              <w:rPr>
                <w:lang w:val="en-GB"/>
              </w:rPr>
            </w:pPr>
            <w:r w:rsidRPr="00FF229D">
              <w:rPr>
                <w:lang w:val="en-GB"/>
              </w:rPr>
              <w:t xml:space="preserve">An official examination of the financial accounts of a business done by an independent body. </w:t>
            </w:r>
          </w:p>
        </w:tc>
      </w:tr>
      <w:tr w:rsidR="00FF229D" w:rsidRPr="00FF229D" w14:paraId="3E61FF2C"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AF063FF" w14:textId="77777777" w:rsidR="00FF229D" w:rsidRPr="00FF229D" w:rsidRDefault="00FF229D" w:rsidP="00463C66">
            <w:pPr>
              <w:pStyle w:val="TableHeading"/>
              <w:rPr>
                <w:lang w:val="en-GB"/>
              </w:rPr>
            </w:pPr>
            <w:r w:rsidRPr="00FF229D">
              <w:rPr>
                <w:lang w:val="en-GB"/>
              </w:rPr>
              <w:t xml:space="preserve">Audited financial records </w:t>
            </w:r>
          </w:p>
        </w:tc>
        <w:tc>
          <w:tcPr>
            <w:cnfStyle w:val="000001000000" w:firstRow="0" w:lastRow="0" w:firstColumn="0" w:lastColumn="0" w:oddVBand="0" w:evenVBand="1" w:oddHBand="0" w:evenHBand="0" w:firstRowFirstColumn="0" w:firstRowLastColumn="0" w:lastRowFirstColumn="0" w:lastRowLastColumn="0"/>
            <w:tcW w:w="8293" w:type="dxa"/>
          </w:tcPr>
          <w:p w14:paraId="03390ADA" w14:textId="77777777" w:rsidR="00FF229D" w:rsidRPr="00FF229D" w:rsidRDefault="00FF229D" w:rsidP="00463C66">
            <w:pPr>
              <w:pStyle w:val="TableCopy"/>
              <w:rPr>
                <w:lang w:val="en-GB"/>
              </w:rPr>
            </w:pPr>
            <w:r w:rsidRPr="00FF229D">
              <w:rPr>
                <w:lang w:val="en-GB"/>
              </w:rPr>
              <w:t xml:space="preserve">Every business keeps records of its operations and transactions and accountants take this information to produce four basic financial statements: a profit and loss statement, balance sheet, statement of cash flows and statement of changes in owners' equity. These are known as audited financial records. </w:t>
            </w:r>
          </w:p>
        </w:tc>
      </w:tr>
      <w:tr w:rsidR="00FF229D" w:rsidRPr="00FF229D" w14:paraId="7DDDD333"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0871ABF" w14:textId="77777777" w:rsidR="00FF229D" w:rsidRPr="00FF229D" w:rsidRDefault="00FF229D" w:rsidP="00463C66">
            <w:pPr>
              <w:pStyle w:val="TableHeading"/>
              <w:rPr>
                <w:lang w:val="en-GB"/>
              </w:rPr>
            </w:pPr>
            <w:r w:rsidRPr="00FF229D">
              <w:rPr>
                <w:lang w:val="en-GB"/>
              </w:rPr>
              <w:t>Australian Business Number (ABN)</w:t>
            </w:r>
          </w:p>
        </w:tc>
        <w:tc>
          <w:tcPr>
            <w:cnfStyle w:val="000001000000" w:firstRow="0" w:lastRow="0" w:firstColumn="0" w:lastColumn="0" w:oddVBand="0" w:evenVBand="1" w:oddHBand="0" w:evenHBand="0" w:firstRowFirstColumn="0" w:firstRowLastColumn="0" w:lastRowFirstColumn="0" w:lastRowLastColumn="0"/>
            <w:tcW w:w="8293" w:type="dxa"/>
          </w:tcPr>
          <w:p w14:paraId="6A19E11C" w14:textId="505F16B1" w:rsidR="00FF229D" w:rsidRPr="00FF229D" w:rsidRDefault="00FF229D" w:rsidP="00463C66">
            <w:pPr>
              <w:pStyle w:val="TableCopy"/>
              <w:rPr>
                <w:lang w:val="en-GB"/>
              </w:rPr>
            </w:pPr>
            <w:r w:rsidRPr="00FF229D">
              <w:rPr>
                <w:lang w:val="en-GB"/>
              </w:rPr>
              <w:t xml:space="preserve">A unique 11-digit number that identifies a business to the government and community. To get one you need to be running a business or enterprise and need to apply via the Australian Business Register (ABR) website. </w:t>
            </w:r>
          </w:p>
        </w:tc>
      </w:tr>
      <w:tr w:rsidR="00FF229D" w:rsidRPr="00FF229D" w14:paraId="2295DBFA"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1FC382C" w14:textId="77777777" w:rsidR="00FF229D" w:rsidRPr="00FF229D" w:rsidRDefault="00FF229D" w:rsidP="00463C66">
            <w:pPr>
              <w:pStyle w:val="TableHeading"/>
              <w:rPr>
                <w:lang w:val="en-GB"/>
              </w:rPr>
            </w:pPr>
            <w:r w:rsidRPr="00FF229D">
              <w:rPr>
                <w:lang w:val="en-GB"/>
              </w:rPr>
              <w:t>Australian Company Number (ACN)</w:t>
            </w:r>
          </w:p>
        </w:tc>
        <w:tc>
          <w:tcPr>
            <w:cnfStyle w:val="000001000000" w:firstRow="0" w:lastRow="0" w:firstColumn="0" w:lastColumn="0" w:oddVBand="0" w:evenVBand="1" w:oddHBand="0" w:evenHBand="0" w:firstRowFirstColumn="0" w:firstRowLastColumn="0" w:lastRowFirstColumn="0" w:lastRowLastColumn="0"/>
            <w:tcW w:w="8293" w:type="dxa"/>
          </w:tcPr>
          <w:p w14:paraId="0403D883" w14:textId="6AF67344" w:rsidR="00FF229D" w:rsidRPr="00FF229D" w:rsidRDefault="00FF229D" w:rsidP="00463C66">
            <w:pPr>
              <w:pStyle w:val="TableCopy"/>
              <w:rPr>
                <w:lang w:val="en-GB"/>
              </w:rPr>
            </w:pPr>
            <w:r w:rsidRPr="00FF229D">
              <w:rPr>
                <w:lang w:val="en-GB"/>
              </w:rPr>
              <w:t>A unique nine-digit number that identifies a company in Australia. ACNs must be displayed on all company documents.</w:t>
            </w:r>
          </w:p>
        </w:tc>
      </w:tr>
      <w:tr w:rsidR="00FF229D" w:rsidRPr="00FF229D" w14:paraId="6CA4DD48"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A24DD1C" w14:textId="77777777" w:rsidR="00FF229D" w:rsidRPr="00FF229D" w:rsidRDefault="00FF229D" w:rsidP="00463C66">
            <w:pPr>
              <w:pStyle w:val="TableHeading"/>
              <w:rPr>
                <w:lang w:val="en-GB"/>
              </w:rPr>
            </w:pPr>
            <w:r w:rsidRPr="00FF229D">
              <w:rPr>
                <w:lang w:val="en-GB"/>
              </w:rPr>
              <w:t>Award rate</w:t>
            </w:r>
          </w:p>
        </w:tc>
        <w:tc>
          <w:tcPr>
            <w:cnfStyle w:val="000001000000" w:firstRow="0" w:lastRow="0" w:firstColumn="0" w:lastColumn="0" w:oddVBand="0" w:evenVBand="1" w:oddHBand="0" w:evenHBand="0" w:firstRowFirstColumn="0" w:firstRowLastColumn="0" w:lastRowFirstColumn="0" w:lastRowLastColumn="0"/>
            <w:tcW w:w="8293" w:type="dxa"/>
          </w:tcPr>
          <w:p w14:paraId="23436C77" w14:textId="77777777" w:rsidR="00FF229D" w:rsidRPr="00FF229D" w:rsidRDefault="00FF229D" w:rsidP="00463C66">
            <w:pPr>
              <w:pStyle w:val="TableCopy"/>
              <w:rPr>
                <w:lang w:val="en-GB"/>
              </w:rPr>
            </w:pPr>
            <w:r w:rsidRPr="00FF229D">
              <w:rPr>
                <w:lang w:val="en-GB"/>
              </w:rPr>
              <w:t xml:space="preserve">Awards (award rates) are legal documents that outline the minimum pay rates and conditions for workers in Australia. </w:t>
            </w:r>
          </w:p>
        </w:tc>
      </w:tr>
      <w:tr w:rsidR="00FF229D" w:rsidRPr="00FF229D" w14:paraId="308A3FD8"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0BC9FB03" w14:textId="77777777" w:rsidR="00FF229D" w:rsidRPr="00FF229D" w:rsidRDefault="00FF229D" w:rsidP="00463C66">
            <w:pPr>
              <w:pStyle w:val="TableHeading"/>
              <w:rPr>
                <w:lang w:val="en-GB"/>
              </w:rPr>
            </w:pPr>
            <w:r w:rsidRPr="00FF229D">
              <w:rPr>
                <w:lang w:val="en-GB"/>
              </w:rPr>
              <w:t>Casual employment</w:t>
            </w:r>
          </w:p>
        </w:tc>
        <w:tc>
          <w:tcPr>
            <w:cnfStyle w:val="000001000000" w:firstRow="0" w:lastRow="0" w:firstColumn="0" w:lastColumn="0" w:oddVBand="0" w:evenVBand="1" w:oddHBand="0" w:evenHBand="0" w:firstRowFirstColumn="0" w:firstRowLastColumn="0" w:lastRowFirstColumn="0" w:lastRowLastColumn="0"/>
            <w:tcW w:w="8293" w:type="dxa"/>
          </w:tcPr>
          <w:p w14:paraId="5EAF4C46" w14:textId="77777777" w:rsidR="00FF229D" w:rsidRPr="00FF229D" w:rsidRDefault="00FF229D" w:rsidP="00463C66">
            <w:pPr>
              <w:pStyle w:val="TableCopy"/>
              <w:rPr>
                <w:lang w:val="en-GB"/>
              </w:rPr>
            </w:pPr>
            <w:r w:rsidRPr="00FF229D">
              <w:rPr>
                <w:lang w:val="en-GB"/>
              </w:rPr>
              <w:t xml:space="preserve">An employee in casual employment: </w:t>
            </w:r>
          </w:p>
          <w:p w14:paraId="060DFD63" w14:textId="77777777" w:rsidR="00FF229D" w:rsidRPr="00FF229D" w:rsidRDefault="00FF229D" w:rsidP="00272C5D">
            <w:pPr>
              <w:pStyle w:val="TableBullet"/>
              <w:rPr>
                <w:lang w:val="en-GB"/>
              </w:rPr>
            </w:pPr>
            <w:r w:rsidRPr="00FF229D">
              <w:rPr>
                <w:lang w:val="en-GB"/>
              </w:rPr>
              <w:t>has no guaranteed hours of work</w:t>
            </w:r>
          </w:p>
          <w:p w14:paraId="61BE7E47" w14:textId="77777777" w:rsidR="00FF229D" w:rsidRPr="00FF229D" w:rsidRDefault="00FF229D" w:rsidP="00272C5D">
            <w:pPr>
              <w:pStyle w:val="TableBullet"/>
              <w:rPr>
                <w:lang w:val="en-GB"/>
              </w:rPr>
            </w:pPr>
            <w:r w:rsidRPr="00FF229D">
              <w:rPr>
                <w:lang w:val="en-GB"/>
              </w:rPr>
              <w:t>usually works irregular hours</w:t>
            </w:r>
          </w:p>
          <w:p w14:paraId="63FF564A" w14:textId="77777777" w:rsidR="00FF229D" w:rsidRPr="00FF229D" w:rsidRDefault="00FF229D" w:rsidP="00272C5D">
            <w:pPr>
              <w:pStyle w:val="TableBullet"/>
              <w:rPr>
                <w:lang w:val="en-GB"/>
              </w:rPr>
            </w:pPr>
            <w:r w:rsidRPr="00FF229D">
              <w:rPr>
                <w:lang w:val="en-GB"/>
              </w:rPr>
              <w:t>does not get paid sick or annual leave</w:t>
            </w:r>
          </w:p>
          <w:p w14:paraId="559E2F52" w14:textId="5D801CC4" w:rsidR="00FF229D" w:rsidRPr="00FF229D" w:rsidRDefault="00FF229D" w:rsidP="00272C5D">
            <w:pPr>
              <w:pStyle w:val="TableBullet"/>
              <w:rPr>
                <w:lang w:val="en-GB"/>
              </w:rPr>
            </w:pPr>
            <w:r w:rsidRPr="00FF229D">
              <w:rPr>
                <w:lang w:val="en-GB"/>
              </w:rPr>
              <w:t>can end employment without notice, unless notice is required by a registered agreement, award or employment contract.</w:t>
            </w:r>
          </w:p>
        </w:tc>
      </w:tr>
      <w:tr w:rsidR="00FF229D" w:rsidRPr="00FF229D" w14:paraId="6BEB9DAF"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2C02041" w14:textId="77777777" w:rsidR="00FF229D" w:rsidRPr="00FF229D" w:rsidRDefault="00FF229D" w:rsidP="00463C66">
            <w:pPr>
              <w:pStyle w:val="TableHeading"/>
              <w:rPr>
                <w:lang w:val="en-GB"/>
              </w:rPr>
            </w:pPr>
            <w:r w:rsidRPr="00FF229D">
              <w:rPr>
                <w:lang w:val="en-GB"/>
              </w:rPr>
              <w:t xml:space="preserve">Certificate of currency </w:t>
            </w:r>
          </w:p>
        </w:tc>
        <w:tc>
          <w:tcPr>
            <w:cnfStyle w:val="000001000000" w:firstRow="0" w:lastRow="0" w:firstColumn="0" w:lastColumn="0" w:oddVBand="0" w:evenVBand="1" w:oddHBand="0" w:evenHBand="0" w:firstRowFirstColumn="0" w:firstRowLastColumn="0" w:lastRowFirstColumn="0" w:lastRowLastColumn="0"/>
            <w:tcW w:w="8293" w:type="dxa"/>
          </w:tcPr>
          <w:p w14:paraId="5FA22ED5" w14:textId="2DD86D19" w:rsidR="00FF229D" w:rsidRPr="00FF229D" w:rsidRDefault="00FF229D" w:rsidP="00463C66">
            <w:pPr>
              <w:pStyle w:val="TableCopy"/>
              <w:rPr>
                <w:lang w:val="en-GB"/>
              </w:rPr>
            </w:pPr>
            <w:r w:rsidRPr="00FF229D">
              <w:rPr>
                <w:lang w:val="en-GB"/>
              </w:rPr>
              <w:t xml:space="preserve">Confirms that a business is currently registered for a particular kind of insurance. A business can request a certificate as evidence that the business has current insurance. </w:t>
            </w:r>
          </w:p>
        </w:tc>
      </w:tr>
      <w:tr w:rsidR="00FF229D" w:rsidRPr="00FF229D" w14:paraId="065840B6"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90D2987" w14:textId="77777777" w:rsidR="00FF229D" w:rsidRPr="00FF229D" w:rsidRDefault="00FF229D" w:rsidP="00463C66">
            <w:pPr>
              <w:pStyle w:val="TableHeading"/>
              <w:rPr>
                <w:lang w:val="en-GB"/>
              </w:rPr>
            </w:pPr>
            <w:r w:rsidRPr="00FF229D">
              <w:rPr>
                <w:lang w:val="en-GB"/>
              </w:rPr>
              <w:t xml:space="preserve">Commonwealth </w:t>
            </w:r>
            <w:proofErr w:type="spellStart"/>
            <w:r w:rsidRPr="00FF229D">
              <w:rPr>
                <w:lang w:val="en-GB"/>
              </w:rPr>
              <w:t>JobMaker</w:t>
            </w:r>
            <w:proofErr w:type="spellEnd"/>
            <w:r w:rsidRPr="00FF229D">
              <w:rPr>
                <w:lang w:val="en-GB"/>
              </w:rPr>
              <w:t xml:space="preserve"> Hiring Credit </w:t>
            </w:r>
          </w:p>
        </w:tc>
        <w:tc>
          <w:tcPr>
            <w:cnfStyle w:val="000001000000" w:firstRow="0" w:lastRow="0" w:firstColumn="0" w:lastColumn="0" w:oddVBand="0" w:evenVBand="1" w:oddHBand="0" w:evenHBand="0" w:firstRowFirstColumn="0" w:firstRowLastColumn="0" w:lastRowFirstColumn="0" w:lastRowLastColumn="0"/>
            <w:tcW w:w="8293" w:type="dxa"/>
          </w:tcPr>
          <w:p w14:paraId="18FEE9B3" w14:textId="77777777" w:rsidR="00FF229D" w:rsidRPr="00FF229D" w:rsidRDefault="00FF229D" w:rsidP="00463C66">
            <w:pPr>
              <w:pStyle w:val="TableCopy"/>
              <w:rPr>
                <w:lang w:val="en-GB"/>
              </w:rPr>
            </w:pPr>
            <w:r w:rsidRPr="00FF229D">
              <w:rPr>
                <w:lang w:val="en-GB"/>
              </w:rPr>
              <w:t>A Commonwealth Government initiative that provides funding for certain businesses if they employ additional young job seekers aged 16–35 years.</w:t>
            </w:r>
          </w:p>
        </w:tc>
      </w:tr>
      <w:tr w:rsidR="00FF229D" w:rsidRPr="00FF229D" w14:paraId="64928681"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02B740F1" w14:textId="77777777" w:rsidR="00FF229D" w:rsidRPr="00FF229D" w:rsidRDefault="00FF229D" w:rsidP="00463C66">
            <w:pPr>
              <w:pStyle w:val="TableHeading"/>
              <w:rPr>
                <w:lang w:val="en-GB"/>
              </w:rPr>
            </w:pPr>
            <w:r w:rsidRPr="00FF229D">
              <w:rPr>
                <w:lang w:val="en-GB"/>
              </w:rPr>
              <w:t xml:space="preserve">Corporate social responsibility goals </w:t>
            </w:r>
          </w:p>
        </w:tc>
        <w:tc>
          <w:tcPr>
            <w:cnfStyle w:val="000001000000" w:firstRow="0" w:lastRow="0" w:firstColumn="0" w:lastColumn="0" w:oddVBand="0" w:evenVBand="1" w:oddHBand="0" w:evenHBand="0" w:firstRowFirstColumn="0" w:firstRowLastColumn="0" w:lastRowFirstColumn="0" w:lastRowLastColumn="0"/>
            <w:tcW w:w="8293" w:type="dxa"/>
          </w:tcPr>
          <w:p w14:paraId="4B430137" w14:textId="791FF324" w:rsidR="00FF229D" w:rsidRPr="00FF229D" w:rsidRDefault="00FF229D" w:rsidP="00463C66">
            <w:pPr>
              <w:pStyle w:val="TableCopy"/>
              <w:rPr>
                <w:lang w:val="en-GB"/>
              </w:rPr>
            </w:pPr>
            <w:r w:rsidRPr="00FF229D">
              <w:rPr>
                <w:lang w:val="en-GB"/>
              </w:rPr>
              <w:t>A set of ethical standards that guide an organisation’s commitment to responsibly and sustainably manage the social, environmental and economic effects of their work.</w:t>
            </w:r>
          </w:p>
        </w:tc>
      </w:tr>
      <w:tr w:rsidR="00FF229D" w:rsidRPr="00FF229D" w14:paraId="222E7FFE"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43EE671" w14:textId="77777777" w:rsidR="00FF229D" w:rsidRPr="00FF229D" w:rsidRDefault="00FF229D" w:rsidP="00463C66">
            <w:pPr>
              <w:pStyle w:val="TableHeading"/>
              <w:rPr>
                <w:lang w:val="en-GB"/>
              </w:rPr>
            </w:pPr>
            <w:r w:rsidRPr="00FF229D">
              <w:rPr>
                <w:lang w:val="en-GB"/>
              </w:rPr>
              <w:t xml:space="preserve">Employee Consent Form </w:t>
            </w:r>
          </w:p>
        </w:tc>
        <w:tc>
          <w:tcPr>
            <w:cnfStyle w:val="000001000000" w:firstRow="0" w:lastRow="0" w:firstColumn="0" w:lastColumn="0" w:oddVBand="0" w:evenVBand="1" w:oddHBand="0" w:evenHBand="0" w:firstRowFirstColumn="0" w:firstRowLastColumn="0" w:lastRowFirstColumn="0" w:lastRowLastColumn="0"/>
            <w:tcW w:w="8293" w:type="dxa"/>
          </w:tcPr>
          <w:p w14:paraId="5C1B6640" w14:textId="77777777" w:rsidR="00FF229D" w:rsidRPr="00FF229D" w:rsidRDefault="00FF229D" w:rsidP="00463C66">
            <w:pPr>
              <w:pStyle w:val="TableCopy"/>
              <w:rPr>
                <w:lang w:val="en-GB"/>
              </w:rPr>
            </w:pPr>
            <w:r w:rsidRPr="00FF229D">
              <w:rPr>
                <w:lang w:val="en-GB"/>
              </w:rPr>
              <w:t xml:space="preserve">Contains key information about the employee(s) and is completed </w:t>
            </w:r>
            <w:r w:rsidRPr="00FF229D">
              <w:rPr>
                <w:lang w:val="en-GB"/>
              </w:rPr>
              <w:br/>
              <w:t xml:space="preserve">by the employee. The applicant is required to submit a copy of this </w:t>
            </w:r>
            <w:r w:rsidRPr="00FF229D">
              <w:rPr>
                <w:lang w:val="en-GB"/>
              </w:rPr>
              <w:br/>
              <w:t xml:space="preserve">form for each eligible employee. </w:t>
            </w:r>
          </w:p>
        </w:tc>
      </w:tr>
      <w:tr w:rsidR="00FF229D" w:rsidRPr="00FF229D" w14:paraId="4FE8718F"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CF0E579" w14:textId="77777777" w:rsidR="00FF229D" w:rsidRPr="00FF229D" w:rsidRDefault="00FF229D" w:rsidP="00463C66">
            <w:pPr>
              <w:pStyle w:val="TableHeading"/>
              <w:rPr>
                <w:lang w:val="en-GB"/>
              </w:rPr>
            </w:pPr>
            <w:r w:rsidRPr="00FF229D">
              <w:rPr>
                <w:lang w:val="en-GB"/>
              </w:rPr>
              <w:t>Employer</w:t>
            </w:r>
          </w:p>
        </w:tc>
        <w:tc>
          <w:tcPr>
            <w:cnfStyle w:val="000001000000" w:firstRow="0" w:lastRow="0" w:firstColumn="0" w:lastColumn="0" w:oddVBand="0" w:evenVBand="1" w:oddHBand="0" w:evenHBand="0" w:firstRowFirstColumn="0" w:firstRowLastColumn="0" w:lastRowFirstColumn="0" w:lastRowLastColumn="0"/>
            <w:tcW w:w="8293" w:type="dxa"/>
          </w:tcPr>
          <w:p w14:paraId="70A0479E" w14:textId="77777777" w:rsidR="00FF229D" w:rsidRPr="00FF229D" w:rsidRDefault="00FF229D" w:rsidP="00463C66">
            <w:pPr>
              <w:pStyle w:val="TableCopy"/>
              <w:rPr>
                <w:lang w:val="en-GB"/>
              </w:rPr>
            </w:pPr>
            <w:r w:rsidRPr="00FF229D">
              <w:rPr>
                <w:lang w:val="en-GB"/>
              </w:rPr>
              <w:t>An organisation or business that directly employs people.</w:t>
            </w:r>
          </w:p>
        </w:tc>
      </w:tr>
      <w:tr w:rsidR="00FF229D" w:rsidRPr="00FF229D" w14:paraId="5B1EDD70"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35949DA" w14:textId="77777777" w:rsidR="00FF229D" w:rsidRPr="00FF229D" w:rsidRDefault="00FF229D" w:rsidP="00463C66">
            <w:pPr>
              <w:pStyle w:val="TableHeading"/>
              <w:rPr>
                <w:lang w:val="en-GB"/>
              </w:rPr>
            </w:pPr>
            <w:r w:rsidRPr="00FF229D">
              <w:rPr>
                <w:lang w:val="en-GB"/>
              </w:rPr>
              <w:t>Employment contract</w:t>
            </w:r>
          </w:p>
        </w:tc>
        <w:tc>
          <w:tcPr>
            <w:cnfStyle w:val="000001000000" w:firstRow="0" w:lastRow="0" w:firstColumn="0" w:lastColumn="0" w:oddVBand="0" w:evenVBand="1" w:oddHBand="0" w:evenHBand="0" w:firstRowFirstColumn="0" w:firstRowLastColumn="0" w:lastRowFirstColumn="0" w:lastRowLastColumn="0"/>
            <w:tcW w:w="8293" w:type="dxa"/>
          </w:tcPr>
          <w:p w14:paraId="3372EDF0" w14:textId="59BF9ABF" w:rsidR="00FF229D" w:rsidRPr="00FF229D" w:rsidRDefault="00FF229D" w:rsidP="00463C66">
            <w:pPr>
              <w:pStyle w:val="TableCopy"/>
              <w:rPr>
                <w:lang w:val="en-GB"/>
              </w:rPr>
            </w:pPr>
            <w:r w:rsidRPr="00FF229D">
              <w:rPr>
                <w:lang w:val="en-GB"/>
              </w:rPr>
              <w:t>An agreement between an employer and employee that sets out the terms and conditions of employment. For the purposes of the Fund, an employment contract is in writing.</w:t>
            </w:r>
          </w:p>
        </w:tc>
      </w:tr>
      <w:tr w:rsidR="00FF229D" w:rsidRPr="00FF229D" w14:paraId="524DA3AC"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A21F5F1" w14:textId="77777777" w:rsidR="00FF229D" w:rsidRPr="00FF229D" w:rsidRDefault="00FF229D" w:rsidP="00463C66">
            <w:pPr>
              <w:pStyle w:val="TableHeading"/>
              <w:rPr>
                <w:lang w:val="en-GB"/>
              </w:rPr>
            </w:pPr>
            <w:r w:rsidRPr="00FF229D">
              <w:rPr>
                <w:lang w:val="en-GB"/>
              </w:rPr>
              <w:t xml:space="preserve">Enterprise agreement </w:t>
            </w:r>
          </w:p>
        </w:tc>
        <w:tc>
          <w:tcPr>
            <w:cnfStyle w:val="000001000000" w:firstRow="0" w:lastRow="0" w:firstColumn="0" w:lastColumn="0" w:oddVBand="0" w:evenVBand="1" w:oddHBand="0" w:evenHBand="0" w:firstRowFirstColumn="0" w:firstRowLastColumn="0" w:lastRowFirstColumn="0" w:lastRowLastColumn="0"/>
            <w:tcW w:w="8293" w:type="dxa"/>
          </w:tcPr>
          <w:p w14:paraId="13E4F9BE" w14:textId="4A4065E7" w:rsidR="00FF229D" w:rsidRPr="00FF229D" w:rsidRDefault="00FF229D" w:rsidP="00463C66">
            <w:pPr>
              <w:pStyle w:val="TableCopy"/>
              <w:rPr>
                <w:lang w:val="en-GB"/>
              </w:rPr>
            </w:pPr>
            <w:r w:rsidRPr="00FF229D">
              <w:rPr>
                <w:lang w:val="en-GB"/>
              </w:rPr>
              <w:t>An enterprise agreement is between one or more national system employers and their employees, as specified in the agreement. Enterprise agreements are negotiated by the parties through collective bargaining in good faith, primarily at the enterprise level. Under the Fair Work Act 2009, an enterprise can mean any kind of business, activity, project or undertaking.</w:t>
            </w:r>
          </w:p>
        </w:tc>
      </w:tr>
      <w:tr w:rsidR="00FF229D" w:rsidRPr="00FF229D" w14:paraId="140278FC"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078CD96D" w14:textId="77777777" w:rsidR="00FF229D" w:rsidRPr="00FF229D" w:rsidRDefault="00FF229D" w:rsidP="00463C66">
            <w:pPr>
              <w:pStyle w:val="TableHeading"/>
              <w:rPr>
                <w:lang w:val="en-GB"/>
              </w:rPr>
            </w:pPr>
            <w:r w:rsidRPr="00FF229D">
              <w:rPr>
                <w:lang w:val="en-GB"/>
              </w:rPr>
              <w:lastRenderedPageBreak/>
              <w:t>Financial risk assessment (FRA)</w:t>
            </w:r>
          </w:p>
        </w:tc>
        <w:tc>
          <w:tcPr>
            <w:cnfStyle w:val="000001000000" w:firstRow="0" w:lastRow="0" w:firstColumn="0" w:lastColumn="0" w:oddVBand="0" w:evenVBand="1" w:oddHBand="0" w:evenHBand="0" w:firstRowFirstColumn="0" w:firstRowLastColumn="0" w:lastRowFirstColumn="0" w:lastRowLastColumn="0"/>
            <w:tcW w:w="8293" w:type="dxa"/>
          </w:tcPr>
          <w:p w14:paraId="417DD934" w14:textId="1E27B8D1" w:rsidR="00FF229D" w:rsidRPr="00FF229D" w:rsidRDefault="00FF229D" w:rsidP="00463C66">
            <w:pPr>
              <w:pStyle w:val="TableCopy"/>
              <w:rPr>
                <w:lang w:val="en-GB"/>
              </w:rPr>
            </w:pPr>
            <w:r w:rsidRPr="00FF229D">
              <w:rPr>
                <w:lang w:val="en-GB"/>
              </w:rPr>
              <w:t>A process of analysing potential events that may result in the loss of an asset, loan or investment conducted by the Department.</w:t>
            </w:r>
          </w:p>
        </w:tc>
      </w:tr>
      <w:tr w:rsidR="00FF229D" w:rsidRPr="00FF229D" w14:paraId="2179923A"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3DE80DE6" w14:textId="77777777" w:rsidR="00FF229D" w:rsidRPr="00FF229D" w:rsidRDefault="00FF229D" w:rsidP="00463C66">
            <w:pPr>
              <w:pStyle w:val="TableHeading"/>
              <w:rPr>
                <w:lang w:val="en-GB"/>
              </w:rPr>
            </w:pPr>
            <w:r w:rsidRPr="00FF229D">
              <w:rPr>
                <w:lang w:val="en-GB"/>
              </w:rPr>
              <w:t>Full-time equivalent (FTE)</w:t>
            </w:r>
          </w:p>
        </w:tc>
        <w:tc>
          <w:tcPr>
            <w:cnfStyle w:val="000001000000" w:firstRow="0" w:lastRow="0" w:firstColumn="0" w:lastColumn="0" w:oddVBand="0" w:evenVBand="1" w:oddHBand="0" w:evenHBand="0" w:firstRowFirstColumn="0" w:firstRowLastColumn="0" w:lastRowFirstColumn="0" w:lastRowLastColumn="0"/>
            <w:tcW w:w="8293" w:type="dxa"/>
          </w:tcPr>
          <w:p w14:paraId="0A6A0CCC" w14:textId="4B0AA826" w:rsidR="00FF229D" w:rsidRPr="00FF229D" w:rsidRDefault="00FF229D" w:rsidP="00463C66">
            <w:pPr>
              <w:pStyle w:val="TableCopy"/>
              <w:rPr>
                <w:lang w:val="en-GB"/>
              </w:rPr>
            </w:pPr>
            <w:r w:rsidRPr="00FF229D">
              <w:rPr>
                <w:lang w:val="en-GB"/>
              </w:rPr>
              <w:t xml:space="preserve">1 FTE is equivalent to a full-time worker (38 hours a week), while 0.5 FTE is equivalent to a part-time worker (19 hours a week). All other work arrangements are calculated in reference to 1 FTE. </w:t>
            </w:r>
          </w:p>
        </w:tc>
      </w:tr>
      <w:tr w:rsidR="00FF229D" w:rsidRPr="00FF229D" w14:paraId="165059F7"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FEB83AD" w14:textId="77777777" w:rsidR="00FF229D" w:rsidRPr="00FF229D" w:rsidRDefault="00FF229D" w:rsidP="00463C66">
            <w:pPr>
              <w:pStyle w:val="TableHeading"/>
              <w:rPr>
                <w:lang w:val="en-GB"/>
              </w:rPr>
            </w:pPr>
            <w:r w:rsidRPr="00FF229D">
              <w:rPr>
                <w:lang w:val="en-GB"/>
              </w:rPr>
              <w:t xml:space="preserve">Goods and services tax (GST) </w:t>
            </w:r>
          </w:p>
        </w:tc>
        <w:tc>
          <w:tcPr>
            <w:cnfStyle w:val="000001000000" w:firstRow="0" w:lastRow="0" w:firstColumn="0" w:lastColumn="0" w:oddVBand="0" w:evenVBand="1" w:oddHBand="0" w:evenHBand="0" w:firstRowFirstColumn="0" w:firstRowLastColumn="0" w:lastRowFirstColumn="0" w:lastRowLastColumn="0"/>
            <w:tcW w:w="8293" w:type="dxa"/>
          </w:tcPr>
          <w:p w14:paraId="19275E10" w14:textId="77777777" w:rsidR="00FF229D" w:rsidRPr="00FF229D" w:rsidRDefault="00FF229D" w:rsidP="00463C66">
            <w:pPr>
              <w:pStyle w:val="TableCopy"/>
              <w:rPr>
                <w:lang w:val="en-GB"/>
              </w:rPr>
            </w:pPr>
            <w:r w:rsidRPr="00FF229D">
              <w:rPr>
                <w:lang w:val="en-GB"/>
              </w:rPr>
              <w:t>Goods and services tax (GST) is a broad-based tax of 10% on most goods, services and other items sold or consumed in Australia.</w:t>
            </w:r>
          </w:p>
        </w:tc>
      </w:tr>
      <w:tr w:rsidR="00FF229D" w:rsidRPr="00FF229D" w14:paraId="2F4DD03B"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3981D84" w14:textId="77777777" w:rsidR="00FF229D" w:rsidRPr="00FF229D" w:rsidRDefault="00FF229D" w:rsidP="00463C66">
            <w:pPr>
              <w:pStyle w:val="TableHeading"/>
              <w:rPr>
                <w:lang w:val="en-GB"/>
              </w:rPr>
            </w:pPr>
            <w:r w:rsidRPr="00FF229D">
              <w:rPr>
                <w:lang w:val="en-GB"/>
              </w:rPr>
              <w:t>Government bodies</w:t>
            </w:r>
          </w:p>
        </w:tc>
        <w:tc>
          <w:tcPr>
            <w:cnfStyle w:val="000001000000" w:firstRow="0" w:lastRow="0" w:firstColumn="0" w:lastColumn="0" w:oddVBand="0" w:evenVBand="1" w:oddHBand="0" w:evenHBand="0" w:firstRowFirstColumn="0" w:firstRowLastColumn="0" w:lastRowFirstColumn="0" w:lastRowLastColumn="0"/>
            <w:tcW w:w="8293" w:type="dxa"/>
          </w:tcPr>
          <w:p w14:paraId="1DB1210E" w14:textId="77777777" w:rsidR="00FF229D" w:rsidRPr="00FF229D" w:rsidRDefault="00FF229D" w:rsidP="00463C66">
            <w:pPr>
              <w:pStyle w:val="TableCopy"/>
              <w:rPr>
                <w:lang w:val="en-GB"/>
              </w:rPr>
            </w:pPr>
            <w:r w:rsidRPr="00FF229D">
              <w:rPr>
                <w:lang w:val="en-GB"/>
              </w:rPr>
              <w:t xml:space="preserve">Entities established by an Act of Parliament or by government. </w:t>
            </w:r>
          </w:p>
        </w:tc>
      </w:tr>
      <w:tr w:rsidR="00FF229D" w:rsidRPr="00FF229D" w14:paraId="0F628D76"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73A3F79" w14:textId="77777777" w:rsidR="00FF229D" w:rsidRPr="00FF229D" w:rsidRDefault="00FF229D" w:rsidP="00463C66">
            <w:pPr>
              <w:pStyle w:val="TableHeading"/>
              <w:rPr>
                <w:lang w:val="en-GB"/>
              </w:rPr>
            </w:pPr>
            <w:r w:rsidRPr="00FF229D">
              <w:rPr>
                <w:lang w:val="en-GB"/>
              </w:rPr>
              <w:t>Grant Agreement</w:t>
            </w:r>
          </w:p>
        </w:tc>
        <w:tc>
          <w:tcPr>
            <w:cnfStyle w:val="000001000000" w:firstRow="0" w:lastRow="0" w:firstColumn="0" w:lastColumn="0" w:oddVBand="0" w:evenVBand="1" w:oddHBand="0" w:evenHBand="0" w:firstRowFirstColumn="0" w:firstRowLastColumn="0" w:lastRowFirstColumn="0" w:lastRowLastColumn="0"/>
            <w:tcW w:w="8293" w:type="dxa"/>
          </w:tcPr>
          <w:p w14:paraId="70A1EF34" w14:textId="77777777" w:rsidR="00FF229D" w:rsidRPr="00FF229D" w:rsidRDefault="00FF229D" w:rsidP="00463C66">
            <w:pPr>
              <w:pStyle w:val="TableCopy"/>
              <w:rPr>
                <w:lang w:val="en-GB"/>
              </w:rPr>
            </w:pPr>
            <w:r w:rsidRPr="00FF229D">
              <w:rPr>
                <w:lang w:val="en-GB"/>
              </w:rPr>
              <w:t xml:space="preserve">A written document containing the terms and conditions of a Grant. </w:t>
            </w:r>
          </w:p>
        </w:tc>
      </w:tr>
      <w:tr w:rsidR="00FF229D" w:rsidRPr="00FF229D" w14:paraId="2E7DEEF2"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2D9AD2D" w14:textId="77777777" w:rsidR="00FF229D" w:rsidRPr="00FF229D" w:rsidRDefault="00FF229D" w:rsidP="00463C66">
            <w:pPr>
              <w:pStyle w:val="TableHeading"/>
              <w:rPr>
                <w:lang w:val="en-GB"/>
              </w:rPr>
            </w:pPr>
            <w:r w:rsidRPr="00FF229D">
              <w:rPr>
                <w:lang w:val="en-GB"/>
              </w:rPr>
              <w:t>Incorporated (organisation)</w:t>
            </w:r>
          </w:p>
        </w:tc>
        <w:tc>
          <w:tcPr>
            <w:cnfStyle w:val="000001000000" w:firstRow="0" w:lastRow="0" w:firstColumn="0" w:lastColumn="0" w:oddVBand="0" w:evenVBand="1" w:oddHBand="0" w:evenHBand="0" w:firstRowFirstColumn="0" w:firstRowLastColumn="0" w:lastRowFirstColumn="0" w:lastRowLastColumn="0"/>
            <w:tcW w:w="8293" w:type="dxa"/>
          </w:tcPr>
          <w:p w14:paraId="03D571DD" w14:textId="55179986" w:rsidR="00FF229D" w:rsidRPr="00FF229D" w:rsidRDefault="00FF229D" w:rsidP="00463C66">
            <w:pPr>
              <w:pStyle w:val="TableCopy"/>
              <w:rPr>
                <w:lang w:val="en-GB"/>
              </w:rPr>
            </w:pPr>
            <w:r w:rsidRPr="00FF229D">
              <w:rPr>
                <w:lang w:val="en-GB"/>
              </w:rPr>
              <w:t xml:space="preserve">A registered legal entity established for recreational, cultural or charitable purposes. It must have at least five members and put all profits into the organisation’s activities. </w:t>
            </w:r>
          </w:p>
        </w:tc>
      </w:tr>
      <w:tr w:rsidR="00FF229D" w:rsidRPr="00FF229D" w14:paraId="1BC79935"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30449494" w14:textId="77777777" w:rsidR="00FF229D" w:rsidRPr="00FF229D" w:rsidRDefault="00FF229D" w:rsidP="00463C66">
            <w:pPr>
              <w:pStyle w:val="TableHeading"/>
              <w:rPr>
                <w:lang w:val="en-GB"/>
              </w:rPr>
            </w:pPr>
            <w:r w:rsidRPr="00FF229D">
              <w:rPr>
                <w:lang w:val="en-GB"/>
              </w:rPr>
              <w:t>Ineligible employee</w:t>
            </w:r>
          </w:p>
        </w:tc>
        <w:tc>
          <w:tcPr>
            <w:cnfStyle w:val="000001000000" w:firstRow="0" w:lastRow="0" w:firstColumn="0" w:lastColumn="0" w:oddVBand="0" w:evenVBand="1" w:oddHBand="0" w:evenHBand="0" w:firstRowFirstColumn="0" w:firstRowLastColumn="0" w:lastRowFirstColumn="0" w:lastRowLastColumn="0"/>
            <w:tcW w:w="8293" w:type="dxa"/>
          </w:tcPr>
          <w:p w14:paraId="5204C35D" w14:textId="05698938" w:rsidR="00FF229D" w:rsidRPr="00FF229D" w:rsidRDefault="00FF229D" w:rsidP="00463C66">
            <w:pPr>
              <w:pStyle w:val="TableCopy"/>
              <w:rPr>
                <w:lang w:val="en-GB"/>
              </w:rPr>
            </w:pPr>
            <w:r w:rsidRPr="00FF229D">
              <w:rPr>
                <w:lang w:val="en-GB"/>
              </w:rPr>
              <w:t>A person who is does not meet the eligibility requirements under the Jobs Victoria Fund.</w:t>
            </w:r>
          </w:p>
        </w:tc>
      </w:tr>
      <w:tr w:rsidR="00FF229D" w:rsidRPr="00FF229D" w14:paraId="73ED5AA6"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34D5899" w14:textId="77777777" w:rsidR="00FF229D" w:rsidRPr="00FF229D" w:rsidRDefault="00FF229D" w:rsidP="00463C66">
            <w:pPr>
              <w:pStyle w:val="TableHeading"/>
              <w:rPr>
                <w:lang w:val="en-GB"/>
              </w:rPr>
            </w:pPr>
            <w:r w:rsidRPr="00FF229D">
              <w:rPr>
                <w:lang w:val="en-GB"/>
              </w:rPr>
              <w:t xml:space="preserve">Jobseeker </w:t>
            </w:r>
          </w:p>
        </w:tc>
        <w:tc>
          <w:tcPr>
            <w:cnfStyle w:val="000001000000" w:firstRow="0" w:lastRow="0" w:firstColumn="0" w:lastColumn="0" w:oddVBand="0" w:evenVBand="1" w:oddHBand="0" w:evenHBand="0" w:firstRowFirstColumn="0" w:firstRowLastColumn="0" w:lastRowFirstColumn="0" w:lastRowLastColumn="0"/>
            <w:tcW w:w="8293" w:type="dxa"/>
          </w:tcPr>
          <w:p w14:paraId="594CD752" w14:textId="77777777" w:rsidR="00FF229D" w:rsidRPr="00FF229D" w:rsidRDefault="00FF229D" w:rsidP="00463C66">
            <w:pPr>
              <w:pStyle w:val="TableCopy"/>
              <w:rPr>
                <w:lang w:val="en-GB"/>
              </w:rPr>
            </w:pPr>
            <w:r w:rsidRPr="00FF229D">
              <w:rPr>
                <w:lang w:val="en-GB"/>
              </w:rPr>
              <w:t>An individual who is actively looking for a job.</w:t>
            </w:r>
          </w:p>
        </w:tc>
      </w:tr>
      <w:tr w:rsidR="00FF229D" w:rsidRPr="00FF229D" w14:paraId="6EED68A7"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73BB87CA" w14:textId="77777777" w:rsidR="00FF229D" w:rsidRPr="00FF229D" w:rsidRDefault="00FF229D" w:rsidP="00463C66">
            <w:pPr>
              <w:pStyle w:val="TableHeading"/>
              <w:rPr>
                <w:lang w:val="en-GB"/>
              </w:rPr>
            </w:pPr>
            <w:r w:rsidRPr="00FF229D">
              <w:rPr>
                <w:lang w:val="en-GB"/>
              </w:rPr>
              <w:t>Jobs Victoria Online Hub</w:t>
            </w:r>
          </w:p>
        </w:tc>
        <w:tc>
          <w:tcPr>
            <w:cnfStyle w:val="000001000000" w:firstRow="0" w:lastRow="0" w:firstColumn="0" w:lastColumn="0" w:oddVBand="0" w:evenVBand="1" w:oddHBand="0" w:evenHBand="0" w:firstRowFirstColumn="0" w:firstRowLastColumn="0" w:lastRowFirstColumn="0" w:lastRowLastColumn="0"/>
            <w:tcW w:w="8293" w:type="dxa"/>
          </w:tcPr>
          <w:p w14:paraId="7C554963" w14:textId="0C13101F" w:rsidR="00FF229D" w:rsidRPr="00FF229D" w:rsidRDefault="00FF229D" w:rsidP="00463C66">
            <w:pPr>
              <w:pStyle w:val="TableCopy"/>
              <w:rPr>
                <w:lang w:val="en-GB"/>
              </w:rPr>
            </w:pPr>
            <w:r w:rsidRPr="00FF229D">
              <w:rPr>
                <w:lang w:val="en-GB"/>
              </w:rPr>
              <w:t>Helps employers find people ready to work with the skills and experience to meet their needs. Also connects workers with new job opportunities and access to online training.</w:t>
            </w:r>
          </w:p>
        </w:tc>
      </w:tr>
      <w:tr w:rsidR="00FF229D" w:rsidRPr="00FF229D" w14:paraId="586C49B3"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4D4BB17" w14:textId="77777777" w:rsidR="00FF229D" w:rsidRPr="00FF229D" w:rsidRDefault="00FF229D" w:rsidP="00463C66">
            <w:pPr>
              <w:pStyle w:val="TableHeading"/>
              <w:rPr>
                <w:lang w:val="en-GB"/>
              </w:rPr>
            </w:pPr>
            <w:r w:rsidRPr="00FF229D">
              <w:rPr>
                <w:lang w:val="en-GB"/>
              </w:rPr>
              <w:t>Jobs Victoria participant</w:t>
            </w:r>
          </w:p>
        </w:tc>
        <w:tc>
          <w:tcPr>
            <w:cnfStyle w:val="000001000000" w:firstRow="0" w:lastRow="0" w:firstColumn="0" w:lastColumn="0" w:oddVBand="0" w:evenVBand="1" w:oddHBand="0" w:evenHBand="0" w:firstRowFirstColumn="0" w:firstRowLastColumn="0" w:lastRowFirstColumn="0" w:lastRowLastColumn="0"/>
            <w:tcW w:w="8293" w:type="dxa"/>
          </w:tcPr>
          <w:p w14:paraId="101A34E7" w14:textId="77777777" w:rsidR="00FF229D" w:rsidRPr="00FF229D" w:rsidRDefault="00FF229D" w:rsidP="00463C66">
            <w:pPr>
              <w:pStyle w:val="TableCopy"/>
              <w:rPr>
                <w:lang w:val="en-GB"/>
              </w:rPr>
            </w:pPr>
            <w:r w:rsidRPr="00FF229D">
              <w:rPr>
                <w:lang w:val="en-GB"/>
              </w:rPr>
              <w:t xml:space="preserve">A Victorian jobseeker who has met the eligibility criteria to receive assistance through a Jobs Victoria Partner. </w:t>
            </w:r>
          </w:p>
        </w:tc>
      </w:tr>
      <w:tr w:rsidR="00FF229D" w:rsidRPr="00FF229D" w14:paraId="3E36B8F8"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D543251" w14:textId="77777777" w:rsidR="00FF229D" w:rsidRPr="00FF229D" w:rsidRDefault="00FF229D" w:rsidP="00463C66">
            <w:pPr>
              <w:pStyle w:val="TableHeading"/>
              <w:rPr>
                <w:lang w:val="en-GB"/>
              </w:rPr>
            </w:pPr>
            <w:r w:rsidRPr="00FF229D">
              <w:rPr>
                <w:lang w:val="en-GB"/>
              </w:rPr>
              <w:t>Jobs Victoria Partner</w:t>
            </w:r>
          </w:p>
        </w:tc>
        <w:tc>
          <w:tcPr>
            <w:cnfStyle w:val="000001000000" w:firstRow="0" w:lastRow="0" w:firstColumn="0" w:lastColumn="0" w:oddVBand="0" w:evenVBand="1" w:oddHBand="0" w:evenHBand="0" w:firstRowFirstColumn="0" w:firstRowLastColumn="0" w:lastRowFirstColumn="0" w:lastRowLastColumn="0"/>
            <w:tcW w:w="8293" w:type="dxa"/>
          </w:tcPr>
          <w:p w14:paraId="321B228C" w14:textId="77777777" w:rsidR="00FF229D" w:rsidRPr="00FF229D" w:rsidRDefault="00FF229D" w:rsidP="00463C66">
            <w:pPr>
              <w:pStyle w:val="TableCopy"/>
              <w:rPr>
                <w:lang w:val="en-GB"/>
              </w:rPr>
            </w:pPr>
            <w:r w:rsidRPr="00FF229D">
              <w:rPr>
                <w:lang w:val="en-GB"/>
              </w:rPr>
              <w:t xml:space="preserve">Organisations that have received funding through Jobs Victoria to deliver employment related services on behalf of the Victorian Government. </w:t>
            </w:r>
          </w:p>
          <w:p w14:paraId="56091585" w14:textId="77777777" w:rsidR="00FF229D" w:rsidRPr="00FF229D" w:rsidRDefault="00FF229D" w:rsidP="00463C66">
            <w:pPr>
              <w:pStyle w:val="TableCopy"/>
              <w:rPr>
                <w:lang w:val="en-GB"/>
              </w:rPr>
            </w:pPr>
            <w:r w:rsidRPr="00FF229D">
              <w:rPr>
                <w:lang w:val="en-GB"/>
              </w:rPr>
              <w:t>Jobs Victoria Partners:</w:t>
            </w:r>
          </w:p>
          <w:p w14:paraId="358B8627" w14:textId="43941B70" w:rsidR="00FF229D" w:rsidRPr="00FF229D" w:rsidRDefault="00FF229D" w:rsidP="00516757">
            <w:pPr>
              <w:pStyle w:val="TableBullet"/>
              <w:rPr>
                <w:lang w:val="en-GB"/>
              </w:rPr>
            </w:pPr>
            <w:r w:rsidRPr="00FF229D">
              <w:rPr>
                <w:lang w:val="en-GB"/>
              </w:rPr>
              <w:t>deliver pre-employment training to jobseekers and assist in sourcing employment</w:t>
            </w:r>
            <w:r w:rsidR="00516757">
              <w:rPr>
                <w:lang w:val="en-GB"/>
              </w:rPr>
              <w:t xml:space="preserve"> </w:t>
            </w:r>
            <w:r w:rsidRPr="00FF229D">
              <w:rPr>
                <w:lang w:val="en-GB"/>
              </w:rPr>
              <w:t xml:space="preserve">placements with suitable employers </w:t>
            </w:r>
          </w:p>
          <w:p w14:paraId="44A66327" w14:textId="23ED61DE" w:rsidR="00FF229D" w:rsidRPr="00FF229D" w:rsidRDefault="00FF229D" w:rsidP="00516757">
            <w:pPr>
              <w:pStyle w:val="TableBullet"/>
              <w:rPr>
                <w:lang w:val="en-GB"/>
              </w:rPr>
            </w:pPr>
            <w:r w:rsidRPr="00FF229D">
              <w:rPr>
                <w:lang w:val="en-GB"/>
              </w:rPr>
              <w:t>actively engage with employers to assist them in meeting their recruitment needs. Post-placement support is provided to both the employer and the jobseeker to help each job stick.</w:t>
            </w:r>
          </w:p>
        </w:tc>
      </w:tr>
      <w:tr w:rsidR="00FF229D" w:rsidRPr="00FF229D" w14:paraId="646CD3D4"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462C7DA" w14:textId="77777777" w:rsidR="00FF229D" w:rsidRPr="00FF229D" w:rsidRDefault="00FF229D" w:rsidP="00463C66">
            <w:pPr>
              <w:pStyle w:val="TableHeading"/>
              <w:rPr>
                <w:lang w:val="en-GB"/>
              </w:rPr>
            </w:pPr>
            <w:r w:rsidRPr="00FF229D">
              <w:rPr>
                <w:lang w:val="en-GB"/>
              </w:rPr>
              <w:t xml:space="preserve">Labour hire providers </w:t>
            </w:r>
          </w:p>
        </w:tc>
        <w:tc>
          <w:tcPr>
            <w:cnfStyle w:val="000001000000" w:firstRow="0" w:lastRow="0" w:firstColumn="0" w:lastColumn="0" w:oddVBand="0" w:evenVBand="1" w:oddHBand="0" w:evenHBand="0" w:firstRowFirstColumn="0" w:firstRowLastColumn="0" w:lastRowFirstColumn="0" w:lastRowLastColumn="0"/>
            <w:tcW w:w="8293" w:type="dxa"/>
          </w:tcPr>
          <w:p w14:paraId="6C99D427" w14:textId="77777777" w:rsidR="00FF229D" w:rsidRPr="00FF229D" w:rsidRDefault="00FF229D" w:rsidP="00463C66">
            <w:pPr>
              <w:pStyle w:val="TableCopy"/>
              <w:rPr>
                <w:lang w:val="en-GB"/>
              </w:rPr>
            </w:pPr>
            <w:r w:rsidRPr="00FF229D">
              <w:rPr>
                <w:lang w:val="en-GB"/>
              </w:rPr>
              <w:t>Licenced by the State or a sub-contractor that undertakes recruitment and employs the supported employees.</w:t>
            </w:r>
          </w:p>
        </w:tc>
      </w:tr>
      <w:tr w:rsidR="00FF229D" w:rsidRPr="00FF229D" w14:paraId="650F743B"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3E074901" w14:textId="77777777" w:rsidR="00FF229D" w:rsidRPr="00FF229D" w:rsidRDefault="00FF229D" w:rsidP="00463C66">
            <w:pPr>
              <w:pStyle w:val="TableHeading"/>
              <w:rPr>
                <w:lang w:val="en-GB"/>
              </w:rPr>
            </w:pPr>
            <w:r w:rsidRPr="00FF229D">
              <w:rPr>
                <w:lang w:val="en-GB"/>
              </w:rPr>
              <w:t>Labour hire authority</w:t>
            </w:r>
          </w:p>
        </w:tc>
        <w:tc>
          <w:tcPr>
            <w:cnfStyle w:val="000001000000" w:firstRow="0" w:lastRow="0" w:firstColumn="0" w:lastColumn="0" w:oddVBand="0" w:evenVBand="1" w:oddHBand="0" w:evenHBand="0" w:firstRowFirstColumn="0" w:firstRowLastColumn="0" w:lastRowFirstColumn="0" w:lastRowLastColumn="0"/>
            <w:tcW w:w="8293" w:type="dxa"/>
          </w:tcPr>
          <w:p w14:paraId="38886ECD" w14:textId="77777777" w:rsidR="00FF229D" w:rsidRPr="00FF229D" w:rsidRDefault="00FF229D" w:rsidP="00463C66">
            <w:pPr>
              <w:pStyle w:val="TableCopy"/>
              <w:rPr>
                <w:lang w:val="en-GB"/>
              </w:rPr>
            </w:pPr>
            <w:r w:rsidRPr="00FF229D">
              <w:rPr>
                <w:lang w:val="en-GB"/>
              </w:rPr>
              <w:t xml:space="preserve">An independent statutory authority responsible for licencing and regulating labour hire services. </w:t>
            </w:r>
          </w:p>
        </w:tc>
      </w:tr>
      <w:tr w:rsidR="00FF229D" w:rsidRPr="00FF229D" w14:paraId="18056ED3"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1CEAD965" w14:textId="77777777" w:rsidR="00FF229D" w:rsidRPr="00FF229D" w:rsidRDefault="00FF229D" w:rsidP="00463C66">
            <w:pPr>
              <w:pStyle w:val="TableHeading"/>
              <w:rPr>
                <w:lang w:val="en-GB"/>
              </w:rPr>
            </w:pPr>
            <w:r w:rsidRPr="00FF229D">
              <w:rPr>
                <w:lang w:val="en-GB"/>
              </w:rPr>
              <w:t>Legal entity</w:t>
            </w:r>
          </w:p>
        </w:tc>
        <w:tc>
          <w:tcPr>
            <w:cnfStyle w:val="000001000000" w:firstRow="0" w:lastRow="0" w:firstColumn="0" w:lastColumn="0" w:oddVBand="0" w:evenVBand="1" w:oddHBand="0" w:evenHBand="0" w:firstRowFirstColumn="0" w:firstRowLastColumn="0" w:lastRowFirstColumn="0" w:lastRowLastColumn="0"/>
            <w:tcW w:w="8293" w:type="dxa"/>
          </w:tcPr>
          <w:p w14:paraId="78A2C8FC" w14:textId="448DCC16" w:rsidR="00FF229D" w:rsidRPr="00FF229D" w:rsidRDefault="00FF229D" w:rsidP="00463C66">
            <w:pPr>
              <w:pStyle w:val="TableCopy"/>
              <w:rPr>
                <w:lang w:val="en-GB"/>
              </w:rPr>
            </w:pPr>
            <w:r w:rsidRPr="00FF229D">
              <w:rPr>
                <w:lang w:val="en-GB"/>
              </w:rPr>
              <w:t>An individual, company, or organization that has legal rights and obligations.</w:t>
            </w:r>
          </w:p>
        </w:tc>
      </w:tr>
      <w:tr w:rsidR="00FF229D" w:rsidRPr="00FF229D" w14:paraId="60EF2EA9"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379511F" w14:textId="77777777" w:rsidR="00FF229D" w:rsidRPr="00FF229D" w:rsidRDefault="00FF229D" w:rsidP="00463C66">
            <w:pPr>
              <w:pStyle w:val="TableHeading"/>
              <w:rPr>
                <w:lang w:val="en-GB"/>
              </w:rPr>
            </w:pPr>
            <w:r w:rsidRPr="00FF229D">
              <w:rPr>
                <w:lang w:val="en-GB"/>
              </w:rPr>
              <w:t>Long-term unemployed</w:t>
            </w:r>
          </w:p>
        </w:tc>
        <w:tc>
          <w:tcPr>
            <w:cnfStyle w:val="000001000000" w:firstRow="0" w:lastRow="0" w:firstColumn="0" w:lastColumn="0" w:oddVBand="0" w:evenVBand="1" w:oddHBand="0" w:evenHBand="0" w:firstRowFirstColumn="0" w:firstRowLastColumn="0" w:lastRowFirstColumn="0" w:lastRowLastColumn="0"/>
            <w:tcW w:w="8293" w:type="dxa"/>
          </w:tcPr>
          <w:p w14:paraId="0029DC25" w14:textId="77777777" w:rsidR="00FF229D" w:rsidRPr="00FF229D" w:rsidRDefault="00FF229D" w:rsidP="00463C66">
            <w:pPr>
              <w:pStyle w:val="TableCopy"/>
              <w:rPr>
                <w:lang w:val="en-GB"/>
              </w:rPr>
            </w:pPr>
            <w:r w:rsidRPr="00FF229D">
              <w:rPr>
                <w:lang w:val="en-GB"/>
              </w:rPr>
              <w:t>People who have been unemployed for more than six months.</w:t>
            </w:r>
          </w:p>
        </w:tc>
      </w:tr>
      <w:tr w:rsidR="00FF229D" w:rsidRPr="00FF229D" w14:paraId="2A0F2BE0"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2DE0494" w14:textId="77777777" w:rsidR="00FF229D" w:rsidRPr="00FF229D" w:rsidRDefault="00FF229D" w:rsidP="00463C66">
            <w:pPr>
              <w:pStyle w:val="TableHeading"/>
              <w:rPr>
                <w:lang w:val="en-GB"/>
              </w:rPr>
            </w:pPr>
            <w:r w:rsidRPr="00FF229D">
              <w:rPr>
                <w:lang w:val="en-GB"/>
              </w:rPr>
              <w:t>National Redress Scheme</w:t>
            </w:r>
          </w:p>
        </w:tc>
        <w:tc>
          <w:tcPr>
            <w:cnfStyle w:val="000001000000" w:firstRow="0" w:lastRow="0" w:firstColumn="0" w:lastColumn="0" w:oddVBand="0" w:evenVBand="1" w:oddHBand="0" w:evenHBand="0" w:firstRowFirstColumn="0" w:firstRowLastColumn="0" w:lastRowFirstColumn="0" w:lastRowLastColumn="0"/>
            <w:tcW w:w="8293" w:type="dxa"/>
          </w:tcPr>
          <w:p w14:paraId="2A627B4E" w14:textId="77777777" w:rsidR="00FF229D" w:rsidRPr="00FF229D" w:rsidRDefault="00FF229D" w:rsidP="00463C66">
            <w:pPr>
              <w:pStyle w:val="TableCopy"/>
              <w:rPr>
                <w:lang w:val="en-GB"/>
              </w:rPr>
            </w:pPr>
            <w:r w:rsidRPr="00FF229D">
              <w:rPr>
                <w:lang w:val="en-GB"/>
              </w:rPr>
              <w:t>The National Redress Scheme:</w:t>
            </w:r>
          </w:p>
          <w:p w14:paraId="1F213B80" w14:textId="77777777" w:rsidR="00FF229D" w:rsidRPr="00FF229D" w:rsidRDefault="00FF229D" w:rsidP="00B873F1">
            <w:pPr>
              <w:pStyle w:val="TableBullet"/>
              <w:rPr>
                <w:lang w:val="en-GB"/>
              </w:rPr>
            </w:pPr>
            <w:r w:rsidRPr="00FF229D">
              <w:rPr>
                <w:lang w:val="en-GB"/>
              </w:rPr>
              <w:t>acknowledges that many children were sexually abused in Australian institutions</w:t>
            </w:r>
          </w:p>
          <w:p w14:paraId="58F46102" w14:textId="77777777" w:rsidR="00FF229D" w:rsidRPr="00FF229D" w:rsidRDefault="00FF229D" w:rsidP="00B873F1">
            <w:pPr>
              <w:pStyle w:val="TableBullet"/>
              <w:rPr>
                <w:lang w:val="en-GB"/>
              </w:rPr>
            </w:pPr>
            <w:r w:rsidRPr="00FF229D">
              <w:rPr>
                <w:lang w:val="en-GB"/>
              </w:rPr>
              <w:t>recognises the suffering they endured because of this abuse</w:t>
            </w:r>
          </w:p>
          <w:p w14:paraId="323A7CD1" w14:textId="77777777" w:rsidR="00FF229D" w:rsidRPr="00FF229D" w:rsidRDefault="00FF229D" w:rsidP="00B873F1">
            <w:pPr>
              <w:pStyle w:val="TableBullet"/>
              <w:rPr>
                <w:lang w:val="en-GB"/>
              </w:rPr>
            </w:pPr>
            <w:r w:rsidRPr="00FF229D">
              <w:rPr>
                <w:lang w:val="en-GB"/>
              </w:rPr>
              <w:t xml:space="preserve">holds institutions accountable for this abuse, and helps people who have experienced institutional child sexual abuse gain access to counselling, a direct personal response, and a Redress payment </w:t>
            </w:r>
          </w:p>
          <w:p w14:paraId="08D337C5" w14:textId="3BEDAB5B" w:rsidR="00FF229D" w:rsidRPr="00FF229D" w:rsidRDefault="00FF229D" w:rsidP="00463C66">
            <w:pPr>
              <w:pStyle w:val="TableCopy"/>
              <w:rPr>
                <w:lang w:val="en-GB"/>
              </w:rPr>
            </w:pPr>
            <w:r w:rsidRPr="00FF229D">
              <w:rPr>
                <w:lang w:val="en-GB"/>
              </w:rPr>
              <w:t xml:space="preserve">Further information at the </w:t>
            </w:r>
            <w:hyperlink r:id="rId41" w:history="1">
              <w:r w:rsidRPr="00765B92">
                <w:rPr>
                  <w:rStyle w:val="Hyperlink"/>
                  <w:b/>
                  <w:bCs/>
                  <w:lang w:val="en-GB"/>
                </w:rPr>
                <w:t>website</w:t>
              </w:r>
            </w:hyperlink>
            <w:r w:rsidRPr="00FF229D">
              <w:rPr>
                <w:lang w:val="en-GB"/>
              </w:rPr>
              <w:t>.</w:t>
            </w:r>
          </w:p>
        </w:tc>
      </w:tr>
      <w:tr w:rsidR="00FF229D" w:rsidRPr="00FF229D" w14:paraId="0AB4B1B8"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31309C4" w14:textId="77777777" w:rsidR="00FF229D" w:rsidRPr="00FF229D" w:rsidRDefault="00FF229D" w:rsidP="00463C66">
            <w:pPr>
              <w:pStyle w:val="TableHeading"/>
              <w:rPr>
                <w:lang w:val="en-GB"/>
              </w:rPr>
            </w:pPr>
            <w:r w:rsidRPr="00FF229D">
              <w:rPr>
                <w:lang w:val="en-GB"/>
              </w:rPr>
              <w:lastRenderedPageBreak/>
              <w:t>New migrants from non-English speaking backgrounds.</w:t>
            </w:r>
          </w:p>
        </w:tc>
        <w:tc>
          <w:tcPr>
            <w:cnfStyle w:val="000001000000" w:firstRow="0" w:lastRow="0" w:firstColumn="0" w:lastColumn="0" w:oddVBand="0" w:evenVBand="1" w:oddHBand="0" w:evenHBand="0" w:firstRowFirstColumn="0" w:firstRowLastColumn="0" w:lastRowFirstColumn="0" w:lastRowLastColumn="0"/>
            <w:tcW w:w="8293" w:type="dxa"/>
          </w:tcPr>
          <w:p w14:paraId="2C6A726E" w14:textId="77777777" w:rsidR="00FF229D" w:rsidRPr="00FF229D" w:rsidRDefault="00FF229D" w:rsidP="00463C66">
            <w:pPr>
              <w:pStyle w:val="TableCopy"/>
              <w:rPr>
                <w:lang w:val="en-GB"/>
              </w:rPr>
            </w:pPr>
            <w:r w:rsidRPr="00FF229D">
              <w:rPr>
                <w:lang w:val="en-GB"/>
              </w:rPr>
              <w:t>People who have arrived in Australia during the past four years from a non-English speaking background and who also meet the Jobs Victoria Fund residency eligibility criteria (i.e. entitled to work for the Applicant as: Australian citizens; holders of Australian permanent residence visas with work entitlements; holders of Australian temporary work visas; holders of student visas who are enrolled in an eligible course of study in Australia; or holders of Australian refugee and humanitarian visas with work entitlements).</w:t>
            </w:r>
          </w:p>
        </w:tc>
      </w:tr>
      <w:tr w:rsidR="00FF229D" w:rsidRPr="00FF229D" w14:paraId="48989A5C"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1128575" w14:textId="77777777" w:rsidR="00FF229D" w:rsidRPr="00FF229D" w:rsidRDefault="00FF229D" w:rsidP="00463C66">
            <w:pPr>
              <w:pStyle w:val="TableHeading"/>
              <w:rPr>
                <w:lang w:val="en-GB"/>
              </w:rPr>
            </w:pPr>
            <w:r w:rsidRPr="00FF229D">
              <w:rPr>
                <w:lang w:val="en-GB"/>
              </w:rPr>
              <w:t>Part-time employee</w:t>
            </w:r>
          </w:p>
        </w:tc>
        <w:tc>
          <w:tcPr>
            <w:cnfStyle w:val="000001000000" w:firstRow="0" w:lastRow="0" w:firstColumn="0" w:lastColumn="0" w:oddVBand="0" w:evenVBand="1" w:oddHBand="0" w:evenHBand="0" w:firstRowFirstColumn="0" w:firstRowLastColumn="0" w:lastRowFirstColumn="0" w:lastRowLastColumn="0"/>
            <w:tcW w:w="8293" w:type="dxa"/>
          </w:tcPr>
          <w:p w14:paraId="4E96BA63" w14:textId="77777777" w:rsidR="00FF229D" w:rsidRPr="00FF229D" w:rsidRDefault="00FF229D" w:rsidP="00463C66">
            <w:pPr>
              <w:pStyle w:val="TableCopy"/>
              <w:rPr>
                <w:lang w:val="en-GB"/>
              </w:rPr>
            </w:pPr>
            <w:r w:rsidRPr="00FF229D">
              <w:rPr>
                <w:lang w:val="en-GB"/>
              </w:rPr>
              <w:t xml:space="preserve">For the purposes of these guidelines, a part-time employee: </w:t>
            </w:r>
          </w:p>
          <w:p w14:paraId="07793C7D" w14:textId="77777777" w:rsidR="00FF229D" w:rsidRPr="00FF229D" w:rsidRDefault="00FF229D" w:rsidP="009163A2">
            <w:pPr>
              <w:pStyle w:val="TableBullet"/>
              <w:rPr>
                <w:lang w:val="en-GB"/>
              </w:rPr>
            </w:pPr>
            <w:r w:rsidRPr="00FF229D">
              <w:rPr>
                <w:lang w:val="en-GB"/>
              </w:rPr>
              <w:t>works a minimum of 19 hours per week</w:t>
            </w:r>
          </w:p>
          <w:p w14:paraId="511236B0" w14:textId="77777777" w:rsidR="00FF229D" w:rsidRPr="00FF229D" w:rsidRDefault="00FF229D" w:rsidP="009163A2">
            <w:pPr>
              <w:pStyle w:val="TableBullet"/>
              <w:rPr>
                <w:lang w:val="en-GB"/>
              </w:rPr>
            </w:pPr>
            <w:r w:rsidRPr="00FF229D">
              <w:rPr>
                <w:lang w:val="en-GB"/>
              </w:rPr>
              <w:t>usually works regular hours each week</w:t>
            </w:r>
          </w:p>
          <w:p w14:paraId="42C8EF61" w14:textId="1CF394C9" w:rsidR="00FF229D" w:rsidRPr="00FF229D" w:rsidRDefault="00FF229D" w:rsidP="009163A2">
            <w:pPr>
              <w:pStyle w:val="TableBullet"/>
              <w:rPr>
                <w:lang w:val="en-GB"/>
              </w:rPr>
            </w:pPr>
            <w:r w:rsidRPr="00FF229D">
              <w:rPr>
                <w:lang w:val="en-GB"/>
              </w:rPr>
              <w:t>can be a permanent employee or on a fixed-term contract for a minimum of 12 months</w:t>
            </w:r>
          </w:p>
          <w:p w14:paraId="3194363A" w14:textId="77777777" w:rsidR="00FF229D" w:rsidRPr="00FF229D" w:rsidRDefault="00FF229D" w:rsidP="009163A2">
            <w:pPr>
              <w:pStyle w:val="TableBullet"/>
              <w:rPr>
                <w:lang w:val="en-GB"/>
              </w:rPr>
            </w:pPr>
            <w:r w:rsidRPr="00FF229D">
              <w:rPr>
                <w:lang w:val="en-GB"/>
              </w:rPr>
              <w:t>is entitled to paid leave including annual leave and sick &amp; carer’s leave</w:t>
            </w:r>
          </w:p>
          <w:p w14:paraId="1DF12EAE" w14:textId="479FA57B" w:rsidR="00FF229D" w:rsidRPr="00FF229D" w:rsidRDefault="00FF229D" w:rsidP="009163A2">
            <w:pPr>
              <w:pStyle w:val="TableBullet"/>
              <w:rPr>
                <w:lang w:val="en-GB"/>
              </w:rPr>
            </w:pPr>
            <w:r w:rsidRPr="00FF229D">
              <w:rPr>
                <w:lang w:val="en-GB"/>
              </w:rPr>
              <w:t>is usually entitled to written notice, or payment instead of notice, if their employer terminates their employment.</w:t>
            </w:r>
          </w:p>
        </w:tc>
      </w:tr>
      <w:tr w:rsidR="00FF229D" w:rsidRPr="00FF229D" w14:paraId="6DCA1081"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1668A66" w14:textId="77777777" w:rsidR="00FF229D" w:rsidRPr="00FF229D" w:rsidRDefault="00FF229D" w:rsidP="00463C66">
            <w:pPr>
              <w:pStyle w:val="TableHeading"/>
              <w:rPr>
                <w:lang w:val="en-GB"/>
              </w:rPr>
            </w:pPr>
            <w:r w:rsidRPr="00FF229D">
              <w:rPr>
                <w:lang w:val="en-GB"/>
              </w:rPr>
              <w:t>Pay slip</w:t>
            </w:r>
          </w:p>
        </w:tc>
        <w:tc>
          <w:tcPr>
            <w:cnfStyle w:val="000001000000" w:firstRow="0" w:lastRow="0" w:firstColumn="0" w:lastColumn="0" w:oddVBand="0" w:evenVBand="1" w:oddHBand="0" w:evenHBand="0" w:firstRowFirstColumn="0" w:firstRowLastColumn="0" w:lastRowFirstColumn="0" w:lastRowLastColumn="0"/>
            <w:tcW w:w="8293" w:type="dxa"/>
          </w:tcPr>
          <w:p w14:paraId="75D82FC3" w14:textId="4F0133B9" w:rsidR="00FF229D" w:rsidRPr="00FF229D" w:rsidRDefault="00FF229D" w:rsidP="00463C66">
            <w:pPr>
              <w:pStyle w:val="TableCopy"/>
              <w:rPr>
                <w:lang w:val="en-GB"/>
              </w:rPr>
            </w:pPr>
            <w:r w:rsidRPr="00FF229D">
              <w:rPr>
                <w:lang w:val="en-GB"/>
              </w:rPr>
              <w:t xml:space="preserve">Pay slips is a document which has to be given to an employee within 1 working day of pay day, even if an employee is on leave. Pay slips have to be in either electronic form or hard copy. Electronic pay slips must have the same information as paper pay slips. </w:t>
            </w:r>
          </w:p>
          <w:p w14:paraId="01AD3B56" w14:textId="68E93C54" w:rsidR="00FF229D" w:rsidRPr="00FF229D" w:rsidRDefault="00FF229D" w:rsidP="00463C66">
            <w:pPr>
              <w:pStyle w:val="TableCopy"/>
              <w:rPr>
                <w:lang w:val="en-GB"/>
              </w:rPr>
            </w:pPr>
            <w:r w:rsidRPr="00FF229D">
              <w:rPr>
                <w:lang w:val="en-GB"/>
              </w:rPr>
              <w:t xml:space="preserve">Pay slips must meet the requirements outlined by </w:t>
            </w:r>
            <w:hyperlink r:id="rId42" w:history="1">
              <w:r w:rsidRPr="00765B92">
                <w:rPr>
                  <w:rStyle w:val="Hyperlink"/>
                  <w:b/>
                  <w:bCs/>
                  <w:lang w:val="en-GB"/>
                </w:rPr>
                <w:t>Fair Work Australia</w:t>
              </w:r>
            </w:hyperlink>
            <w:r w:rsidRPr="00FF229D">
              <w:rPr>
                <w:lang w:val="en-GB"/>
              </w:rPr>
              <w:t>.</w:t>
            </w:r>
          </w:p>
        </w:tc>
      </w:tr>
      <w:tr w:rsidR="00FF229D" w:rsidRPr="00FF229D" w14:paraId="04A18DA4"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7BE822E4" w14:textId="77777777" w:rsidR="00FF229D" w:rsidRPr="00FF229D" w:rsidRDefault="00FF229D" w:rsidP="00463C66">
            <w:pPr>
              <w:pStyle w:val="TableHeading"/>
              <w:rPr>
                <w:lang w:val="en-GB"/>
              </w:rPr>
            </w:pPr>
            <w:r w:rsidRPr="00FF229D">
              <w:rPr>
                <w:lang w:val="en-GB"/>
              </w:rPr>
              <w:t xml:space="preserve">Payment schedule </w:t>
            </w:r>
          </w:p>
        </w:tc>
        <w:tc>
          <w:tcPr>
            <w:cnfStyle w:val="000001000000" w:firstRow="0" w:lastRow="0" w:firstColumn="0" w:lastColumn="0" w:oddVBand="0" w:evenVBand="1" w:oddHBand="0" w:evenHBand="0" w:firstRowFirstColumn="0" w:firstRowLastColumn="0" w:lastRowFirstColumn="0" w:lastRowLastColumn="0"/>
            <w:tcW w:w="8293" w:type="dxa"/>
          </w:tcPr>
          <w:p w14:paraId="138F89AE" w14:textId="53C22E3E" w:rsidR="00FF229D" w:rsidRPr="00FF229D" w:rsidRDefault="00FF229D" w:rsidP="00463C66">
            <w:pPr>
              <w:pStyle w:val="TableCopy"/>
              <w:rPr>
                <w:lang w:val="en-GB"/>
              </w:rPr>
            </w:pPr>
            <w:r w:rsidRPr="00FF229D">
              <w:rPr>
                <w:lang w:val="en-GB"/>
              </w:rPr>
              <w:t>Sets out the timing of payments and payment amounts by the Department to the successful applicant as outlined in the Grant Agreement.</w:t>
            </w:r>
          </w:p>
        </w:tc>
      </w:tr>
      <w:tr w:rsidR="00FF229D" w:rsidRPr="00FF229D" w14:paraId="5A469B4F"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4C36D3F" w14:textId="77777777" w:rsidR="00FF229D" w:rsidRPr="00FF229D" w:rsidRDefault="00FF229D" w:rsidP="00463C66">
            <w:pPr>
              <w:pStyle w:val="TableHeading"/>
              <w:rPr>
                <w:lang w:val="en-GB"/>
              </w:rPr>
            </w:pPr>
            <w:r w:rsidRPr="00FF229D">
              <w:rPr>
                <w:lang w:val="en-GB"/>
              </w:rPr>
              <w:t xml:space="preserve">Periodic employment </w:t>
            </w:r>
          </w:p>
        </w:tc>
        <w:tc>
          <w:tcPr>
            <w:cnfStyle w:val="000001000000" w:firstRow="0" w:lastRow="0" w:firstColumn="0" w:lastColumn="0" w:oddVBand="0" w:evenVBand="1" w:oddHBand="0" w:evenHBand="0" w:firstRowFirstColumn="0" w:firstRowLastColumn="0" w:lastRowFirstColumn="0" w:lastRowLastColumn="0"/>
            <w:tcW w:w="8293" w:type="dxa"/>
          </w:tcPr>
          <w:p w14:paraId="1842EB39" w14:textId="2CE7F5DD" w:rsidR="00FF229D" w:rsidRPr="00FF229D" w:rsidRDefault="00FF229D" w:rsidP="00463C66">
            <w:pPr>
              <w:pStyle w:val="TableCopy"/>
              <w:rPr>
                <w:lang w:val="en-GB"/>
              </w:rPr>
            </w:pPr>
            <w:r w:rsidRPr="00FF229D">
              <w:rPr>
                <w:lang w:val="en-GB"/>
              </w:rPr>
              <w:t>An employee who has worked continuously for an employer for at least 4 months but less than 12 months per year. The employee provides the service/s in intervals.</w:t>
            </w:r>
          </w:p>
        </w:tc>
      </w:tr>
      <w:tr w:rsidR="00FF229D" w:rsidRPr="00FF229D" w14:paraId="33A43073"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1C108FA" w14:textId="4A91559A" w:rsidR="00FF229D" w:rsidRPr="00FF229D" w:rsidRDefault="00FF229D" w:rsidP="00463C66">
            <w:pPr>
              <w:pStyle w:val="TableHeading"/>
              <w:rPr>
                <w:lang w:val="en-GB"/>
              </w:rPr>
            </w:pPr>
            <w:r w:rsidRPr="00FF229D">
              <w:rPr>
                <w:lang w:val="en-GB"/>
              </w:rPr>
              <w:t>Portable long service benefits scheme</w:t>
            </w:r>
          </w:p>
        </w:tc>
        <w:tc>
          <w:tcPr>
            <w:cnfStyle w:val="000001000000" w:firstRow="0" w:lastRow="0" w:firstColumn="0" w:lastColumn="0" w:oddVBand="0" w:evenVBand="1" w:oddHBand="0" w:evenHBand="0" w:firstRowFirstColumn="0" w:firstRowLastColumn="0" w:lastRowFirstColumn="0" w:lastRowLastColumn="0"/>
            <w:tcW w:w="8293" w:type="dxa"/>
          </w:tcPr>
          <w:p w14:paraId="45825282" w14:textId="59CFF5FA" w:rsidR="00FF229D" w:rsidRPr="00FF229D" w:rsidRDefault="00FF229D" w:rsidP="00463C66">
            <w:pPr>
              <w:pStyle w:val="TableCopy"/>
              <w:rPr>
                <w:lang w:val="en-GB"/>
              </w:rPr>
            </w:pPr>
            <w:r w:rsidRPr="00FF229D">
              <w:rPr>
                <w:lang w:val="en-GB"/>
              </w:rPr>
              <w:t xml:space="preserve">Ensures that Victorian workers in community services, contract cleaning and security can take their long service leave entitlement with them if they change jobs but stay in the industry. </w:t>
            </w:r>
          </w:p>
        </w:tc>
      </w:tr>
      <w:tr w:rsidR="00FF229D" w:rsidRPr="00FF229D" w14:paraId="72B7028A"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3CE382D8" w14:textId="77777777" w:rsidR="00FF229D" w:rsidRPr="00FF229D" w:rsidRDefault="00FF229D" w:rsidP="00463C66">
            <w:pPr>
              <w:pStyle w:val="TableHeading"/>
              <w:rPr>
                <w:lang w:val="en-GB"/>
              </w:rPr>
            </w:pPr>
            <w:r w:rsidRPr="00FF229D">
              <w:rPr>
                <w:lang w:val="en-GB"/>
              </w:rPr>
              <w:t>Priority groups</w:t>
            </w:r>
          </w:p>
        </w:tc>
        <w:tc>
          <w:tcPr>
            <w:cnfStyle w:val="000001000000" w:firstRow="0" w:lastRow="0" w:firstColumn="0" w:lastColumn="0" w:oddVBand="0" w:evenVBand="1" w:oddHBand="0" w:evenHBand="0" w:firstRowFirstColumn="0" w:firstRowLastColumn="0" w:lastRowFirstColumn="0" w:lastRowLastColumn="0"/>
            <w:tcW w:w="8293" w:type="dxa"/>
          </w:tcPr>
          <w:p w14:paraId="7F1F74DA" w14:textId="77777777" w:rsidR="00FF229D" w:rsidRPr="00FF229D" w:rsidRDefault="00FF229D" w:rsidP="00463C66">
            <w:pPr>
              <w:pStyle w:val="TableCopy"/>
              <w:rPr>
                <w:lang w:val="en-GB"/>
              </w:rPr>
            </w:pPr>
            <w:r w:rsidRPr="00FF229D">
              <w:rPr>
                <w:lang w:val="en-GB"/>
              </w:rPr>
              <w:t>Priority groups for the Jobs Victoria Fund are:</w:t>
            </w:r>
          </w:p>
          <w:p w14:paraId="74D2CDF9" w14:textId="77777777" w:rsidR="00FF229D" w:rsidRPr="00FF229D" w:rsidRDefault="00FF229D" w:rsidP="00D127C4">
            <w:pPr>
              <w:pStyle w:val="TableBullet"/>
              <w:numPr>
                <w:ilvl w:val="0"/>
                <w:numId w:val="21"/>
              </w:numPr>
              <w:rPr>
                <w:lang w:val="en-GB"/>
              </w:rPr>
            </w:pPr>
            <w:r w:rsidRPr="00FF229D">
              <w:rPr>
                <w:lang w:val="en-GB"/>
              </w:rPr>
              <w:t>women aged over 45 years</w:t>
            </w:r>
          </w:p>
          <w:p w14:paraId="5634B02F" w14:textId="77777777" w:rsidR="00FF229D" w:rsidRPr="00FF229D" w:rsidRDefault="00FF229D" w:rsidP="00D127C4">
            <w:pPr>
              <w:pStyle w:val="TableBullet"/>
              <w:numPr>
                <w:ilvl w:val="0"/>
                <w:numId w:val="21"/>
              </w:numPr>
              <w:rPr>
                <w:lang w:val="en-GB"/>
              </w:rPr>
            </w:pPr>
            <w:r w:rsidRPr="00FF229D">
              <w:rPr>
                <w:lang w:val="en-GB"/>
              </w:rPr>
              <w:t>long-term unemployed people (unemployed for six months or more)</w:t>
            </w:r>
          </w:p>
          <w:p w14:paraId="3E57D61D" w14:textId="77777777" w:rsidR="00FF229D" w:rsidRPr="00FF229D" w:rsidRDefault="00FF229D" w:rsidP="00D127C4">
            <w:pPr>
              <w:pStyle w:val="TableBullet"/>
              <w:numPr>
                <w:ilvl w:val="0"/>
                <w:numId w:val="21"/>
              </w:numPr>
              <w:rPr>
                <w:lang w:val="en-GB"/>
              </w:rPr>
            </w:pPr>
            <w:r w:rsidRPr="00FF229D">
              <w:rPr>
                <w:lang w:val="en-GB"/>
              </w:rPr>
              <w:t>jobseekers registered with a Jobs Victoria Partner</w:t>
            </w:r>
          </w:p>
          <w:p w14:paraId="4ABDE49C" w14:textId="77777777" w:rsidR="00FF229D" w:rsidRPr="00FF229D" w:rsidRDefault="00FF229D" w:rsidP="00D127C4">
            <w:pPr>
              <w:pStyle w:val="TableBullet"/>
              <w:numPr>
                <w:ilvl w:val="0"/>
                <w:numId w:val="21"/>
              </w:numPr>
              <w:rPr>
                <w:lang w:val="en-GB"/>
              </w:rPr>
            </w:pPr>
            <w:r w:rsidRPr="00FF229D">
              <w:rPr>
                <w:lang w:val="en-GB"/>
              </w:rPr>
              <w:t>Aboriginal and/or Torres Strait Islander people</w:t>
            </w:r>
          </w:p>
          <w:p w14:paraId="71F818D9" w14:textId="77777777" w:rsidR="00FF229D" w:rsidRPr="00FF229D" w:rsidRDefault="00FF229D" w:rsidP="00D127C4">
            <w:pPr>
              <w:pStyle w:val="TableBullet"/>
              <w:numPr>
                <w:ilvl w:val="0"/>
                <w:numId w:val="21"/>
              </w:numPr>
              <w:rPr>
                <w:lang w:val="en-GB"/>
              </w:rPr>
            </w:pPr>
            <w:r w:rsidRPr="00FF229D">
              <w:rPr>
                <w:lang w:val="en-GB"/>
              </w:rPr>
              <w:t>people with disability</w:t>
            </w:r>
          </w:p>
          <w:p w14:paraId="55DE376A" w14:textId="77777777" w:rsidR="00FF229D" w:rsidRPr="00FF229D" w:rsidRDefault="00FF229D" w:rsidP="00D127C4">
            <w:pPr>
              <w:pStyle w:val="TableBullet"/>
              <w:numPr>
                <w:ilvl w:val="0"/>
                <w:numId w:val="21"/>
              </w:numPr>
              <w:rPr>
                <w:lang w:val="en-GB"/>
              </w:rPr>
            </w:pPr>
            <w:r w:rsidRPr="00FF229D">
              <w:rPr>
                <w:lang w:val="en-GB"/>
              </w:rPr>
              <w:t>people seeking asylum/refugees</w:t>
            </w:r>
          </w:p>
          <w:p w14:paraId="4900BDA4" w14:textId="77777777" w:rsidR="00FF229D" w:rsidRPr="00FF229D" w:rsidRDefault="00FF229D" w:rsidP="00D127C4">
            <w:pPr>
              <w:pStyle w:val="TableBullet"/>
              <w:numPr>
                <w:ilvl w:val="0"/>
                <w:numId w:val="21"/>
              </w:numPr>
              <w:rPr>
                <w:lang w:val="en-GB"/>
              </w:rPr>
            </w:pPr>
            <w:r w:rsidRPr="00FF229D">
              <w:rPr>
                <w:lang w:val="en-GB"/>
              </w:rPr>
              <w:t xml:space="preserve">newly arrived migrants from non-English speaking backgrounds. </w:t>
            </w:r>
          </w:p>
          <w:p w14:paraId="3C781824" w14:textId="77777777" w:rsidR="00FF229D" w:rsidRPr="00FF229D" w:rsidRDefault="00FF229D" w:rsidP="00D127C4">
            <w:pPr>
              <w:pStyle w:val="TableBullet"/>
              <w:numPr>
                <w:ilvl w:val="0"/>
                <w:numId w:val="21"/>
              </w:numPr>
              <w:rPr>
                <w:lang w:val="en-GB"/>
              </w:rPr>
            </w:pPr>
            <w:r w:rsidRPr="00FF229D">
              <w:rPr>
                <w:lang w:val="en-GB"/>
              </w:rPr>
              <w:t>young people aged under 25</w:t>
            </w:r>
          </w:p>
          <w:p w14:paraId="6642F591" w14:textId="77777777" w:rsidR="00FF229D" w:rsidRPr="00FF229D" w:rsidRDefault="00FF229D" w:rsidP="00D127C4">
            <w:pPr>
              <w:pStyle w:val="TableBullet"/>
              <w:numPr>
                <w:ilvl w:val="0"/>
                <w:numId w:val="21"/>
              </w:numPr>
              <w:rPr>
                <w:lang w:val="en-GB"/>
              </w:rPr>
            </w:pPr>
            <w:r w:rsidRPr="00FF229D">
              <w:rPr>
                <w:lang w:val="en-GB"/>
              </w:rPr>
              <w:t>people over 45 years</w:t>
            </w:r>
          </w:p>
          <w:p w14:paraId="31D3A95F" w14:textId="77777777" w:rsidR="00FF229D" w:rsidRPr="00FF229D" w:rsidRDefault="00FF229D" w:rsidP="00D127C4">
            <w:pPr>
              <w:pStyle w:val="TableBullet"/>
              <w:numPr>
                <w:ilvl w:val="0"/>
                <w:numId w:val="21"/>
              </w:numPr>
              <w:rPr>
                <w:lang w:val="en-GB"/>
              </w:rPr>
            </w:pPr>
            <w:r w:rsidRPr="00FF229D">
              <w:rPr>
                <w:lang w:val="en-GB"/>
              </w:rPr>
              <w:t>veterans</w:t>
            </w:r>
          </w:p>
          <w:p w14:paraId="2015785B" w14:textId="77777777" w:rsidR="00FF229D" w:rsidRPr="00FF229D" w:rsidRDefault="00FF229D" w:rsidP="00D127C4">
            <w:pPr>
              <w:pStyle w:val="TableBullet"/>
              <w:numPr>
                <w:ilvl w:val="0"/>
                <w:numId w:val="21"/>
              </w:numPr>
              <w:rPr>
                <w:lang w:val="en-GB"/>
              </w:rPr>
            </w:pPr>
            <w:r w:rsidRPr="00FF229D">
              <w:rPr>
                <w:lang w:val="en-GB"/>
              </w:rPr>
              <w:t xml:space="preserve">people previously employed under the Working for Victoria initiative. </w:t>
            </w:r>
          </w:p>
        </w:tc>
      </w:tr>
      <w:tr w:rsidR="00FF229D" w:rsidRPr="00FF229D" w14:paraId="75A0725B"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71E94CE9" w14:textId="77777777" w:rsidR="00FF229D" w:rsidRPr="00FF229D" w:rsidRDefault="00FF229D" w:rsidP="00463C66">
            <w:pPr>
              <w:pStyle w:val="TableHeading"/>
              <w:rPr>
                <w:lang w:val="en-GB"/>
              </w:rPr>
            </w:pPr>
            <w:r w:rsidRPr="00FF229D">
              <w:rPr>
                <w:lang w:val="en-GB"/>
              </w:rPr>
              <w:t>Private sector business</w:t>
            </w:r>
          </w:p>
        </w:tc>
        <w:tc>
          <w:tcPr>
            <w:cnfStyle w:val="000001000000" w:firstRow="0" w:lastRow="0" w:firstColumn="0" w:lastColumn="0" w:oddVBand="0" w:evenVBand="1" w:oddHBand="0" w:evenHBand="0" w:firstRowFirstColumn="0" w:firstRowLastColumn="0" w:lastRowFirstColumn="0" w:lastRowLastColumn="0"/>
            <w:tcW w:w="8293" w:type="dxa"/>
          </w:tcPr>
          <w:p w14:paraId="1E386C53" w14:textId="77777777" w:rsidR="00FF229D" w:rsidRPr="00FF229D" w:rsidRDefault="00FF229D" w:rsidP="00463C66">
            <w:pPr>
              <w:pStyle w:val="TableCopy"/>
              <w:rPr>
                <w:lang w:val="en-GB"/>
              </w:rPr>
            </w:pPr>
            <w:r w:rsidRPr="00FF229D">
              <w:rPr>
                <w:lang w:val="en-GB"/>
              </w:rPr>
              <w:t xml:space="preserve">An organisation that is run by individuals for profit and is not controlled by the State. </w:t>
            </w:r>
          </w:p>
        </w:tc>
      </w:tr>
      <w:tr w:rsidR="00FF229D" w:rsidRPr="00FF229D" w14:paraId="033E3471"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275014D5" w14:textId="77777777" w:rsidR="00FF229D" w:rsidRPr="00FF229D" w:rsidRDefault="00FF229D" w:rsidP="00463C66">
            <w:pPr>
              <w:pStyle w:val="TableHeading"/>
              <w:rPr>
                <w:lang w:val="en-GB"/>
              </w:rPr>
            </w:pPr>
            <w:r w:rsidRPr="00FF229D">
              <w:rPr>
                <w:lang w:val="en-GB"/>
              </w:rPr>
              <w:t xml:space="preserve">Project site </w:t>
            </w:r>
          </w:p>
        </w:tc>
        <w:tc>
          <w:tcPr>
            <w:cnfStyle w:val="000001000000" w:firstRow="0" w:lastRow="0" w:firstColumn="0" w:lastColumn="0" w:oddVBand="0" w:evenVBand="1" w:oddHBand="0" w:evenHBand="0" w:firstRowFirstColumn="0" w:firstRowLastColumn="0" w:lastRowFirstColumn="0" w:lastRowLastColumn="0"/>
            <w:tcW w:w="8293" w:type="dxa"/>
          </w:tcPr>
          <w:p w14:paraId="463BE7F3" w14:textId="77777777" w:rsidR="00FF229D" w:rsidRPr="00FF229D" w:rsidRDefault="00FF229D" w:rsidP="00463C66">
            <w:pPr>
              <w:pStyle w:val="TableCopy"/>
              <w:rPr>
                <w:lang w:val="en-GB"/>
              </w:rPr>
            </w:pPr>
            <w:r w:rsidRPr="00FF229D">
              <w:rPr>
                <w:lang w:val="en-GB"/>
              </w:rPr>
              <w:t xml:space="preserve">The location in Victoria where the eligible employees work. </w:t>
            </w:r>
          </w:p>
        </w:tc>
      </w:tr>
      <w:tr w:rsidR="00FF229D" w:rsidRPr="00FF229D" w14:paraId="2317EC94"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046E7A64" w14:textId="77777777" w:rsidR="00FF229D" w:rsidRPr="00FF229D" w:rsidRDefault="00FF229D" w:rsidP="00463C66">
            <w:pPr>
              <w:pStyle w:val="TableHeading"/>
              <w:rPr>
                <w:lang w:val="en-GB"/>
              </w:rPr>
            </w:pPr>
            <w:r w:rsidRPr="00FF229D">
              <w:rPr>
                <w:lang w:val="en-GB"/>
              </w:rPr>
              <w:t>Recipient</w:t>
            </w:r>
          </w:p>
        </w:tc>
        <w:tc>
          <w:tcPr>
            <w:cnfStyle w:val="000001000000" w:firstRow="0" w:lastRow="0" w:firstColumn="0" w:lastColumn="0" w:oddVBand="0" w:evenVBand="1" w:oddHBand="0" w:evenHBand="0" w:firstRowFirstColumn="0" w:firstRowLastColumn="0" w:lastRowFirstColumn="0" w:lastRowLastColumn="0"/>
            <w:tcW w:w="8293" w:type="dxa"/>
          </w:tcPr>
          <w:p w14:paraId="1D5A0FAC" w14:textId="77777777" w:rsidR="00FF229D" w:rsidRPr="00FF229D" w:rsidRDefault="00FF229D" w:rsidP="00463C66">
            <w:pPr>
              <w:pStyle w:val="TableCopy"/>
              <w:rPr>
                <w:lang w:val="en-GB"/>
              </w:rPr>
            </w:pPr>
            <w:r w:rsidRPr="00FF229D">
              <w:rPr>
                <w:lang w:val="en-GB"/>
              </w:rPr>
              <w:t>An applicant that has secured grant funding.</w:t>
            </w:r>
          </w:p>
        </w:tc>
      </w:tr>
      <w:tr w:rsidR="00FF229D" w:rsidRPr="00FF229D" w14:paraId="3A68BEA4"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7DBAFB6" w14:textId="77777777" w:rsidR="00FF229D" w:rsidRPr="00FF229D" w:rsidRDefault="00FF229D" w:rsidP="00463C66">
            <w:pPr>
              <w:pStyle w:val="TableHeading"/>
              <w:rPr>
                <w:lang w:val="en-GB"/>
              </w:rPr>
            </w:pPr>
            <w:r w:rsidRPr="00FF229D">
              <w:rPr>
                <w:lang w:val="en-GB"/>
              </w:rPr>
              <w:t xml:space="preserve">Recruitment </w:t>
            </w:r>
          </w:p>
        </w:tc>
        <w:tc>
          <w:tcPr>
            <w:cnfStyle w:val="000001000000" w:firstRow="0" w:lastRow="0" w:firstColumn="0" w:lastColumn="0" w:oddVBand="0" w:evenVBand="1" w:oddHBand="0" w:evenHBand="0" w:firstRowFirstColumn="0" w:firstRowLastColumn="0" w:lastRowFirstColumn="0" w:lastRowLastColumn="0"/>
            <w:tcW w:w="8293" w:type="dxa"/>
          </w:tcPr>
          <w:p w14:paraId="71F0B550" w14:textId="1921D025" w:rsidR="00FF229D" w:rsidRPr="00FF229D" w:rsidRDefault="00FF229D" w:rsidP="00463C66">
            <w:pPr>
              <w:pStyle w:val="TableCopy"/>
              <w:rPr>
                <w:lang w:val="en-GB"/>
              </w:rPr>
            </w:pPr>
            <w:r w:rsidRPr="00FF229D">
              <w:rPr>
                <w:lang w:val="en-GB"/>
              </w:rPr>
              <w:t xml:space="preserve">The process of actively seeking out, finding and hiring individuals for a specific job. </w:t>
            </w:r>
          </w:p>
        </w:tc>
      </w:tr>
      <w:tr w:rsidR="00FF229D" w:rsidRPr="00FF229D" w14:paraId="6167A3F1"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F6667BA" w14:textId="77777777" w:rsidR="00FF229D" w:rsidRPr="00FF229D" w:rsidRDefault="00FF229D" w:rsidP="00463C66">
            <w:pPr>
              <w:pStyle w:val="TableHeading"/>
              <w:rPr>
                <w:lang w:val="en-GB"/>
              </w:rPr>
            </w:pPr>
            <w:r w:rsidRPr="00FF229D">
              <w:rPr>
                <w:lang w:val="en-GB"/>
              </w:rPr>
              <w:lastRenderedPageBreak/>
              <w:t>Residency status</w:t>
            </w:r>
          </w:p>
        </w:tc>
        <w:tc>
          <w:tcPr>
            <w:cnfStyle w:val="000001000000" w:firstRow="0" w:lastRow="0" w:firstColumn="0" w:lastColumn="0" w:oddVBand="0" w:evenVBand="1" w:oddHBand="0" w:evenHBand="0" w:firstRowFirstColumn="0" w:firstRowLastColumn="0" w:lastRowFirstColumn="0" w:lastRowLastColumn="0"/>
            <w:tcW w:w="8293" w:type="dxa"/>
          </w:tcPr>
          <w:p w14:paraId="76A635B7" w14:textId="413AE625" w:rsidR="00FF229D" w:rsidRPr="00FF229D" w:rsidRDefault="00FF229D" w:rsidP="00463C66">
            <w:pPr>
              <w:pStyle w:val="TableCopy"/>
              <w:rPr>
                <w:lang w:val="en-GB"/>
              </w:rPr>
            </w:pPr>
            <w:r w:rsidRPr="00FF229D">
              <w:rPr>
                <w:lang w:val="en-GB"/>
              </w:rPr>
              <w:t>Refers to an individual's legal status in Australia (</w:t>
            </w:r>
            <w:proofErr w:type="gramStart"/>
            <w:r w:rsidRPr="00FF229D">
              <w:rPr>
                <w:lang w:val="en-GB"/>
              </w:rPr>
              <w:t>e.g.</w:t>
            </w:r>
            <w:proofErr w:type="gramEnd"/>
            <w:r w:rsidRPr="00FF229D">
              <w:rPr>
                <w:lang w:val="en-GB"/>
              </w:rPr>
              <w:t xml:space="preserve"> Australian citizens; holders of Australian permanent residence visas with work entitlements; holders of Australian temporary work visas; holders of student visas who are enrolled in an eligible course of study in Australia; or holders of Australian refugee and humanitarian visas with work entitlements). </w:t>
            </w:r>
          </w:p>
        </w:tc>
      </w:tr>
      <w:tr w:rsidR="00FF229D" w:rsidRPr="00FF229D" w14:paraId="59A7078C"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60093522" w14:textId="77777777" w:rsidR="00FF229D" w:rsidRPr="00FF229D" w:rsidRDefault="00FF229D" w:rsidP="00463C66">
            <w:pPr>
              <w:pStyle w:val="TableHeading"/>
              <w:rPr>
                <w:lang w:val="en-GB"/>
              </w:rPr>
            </w:pPr>
            <w:r w:rsidRPr="00FF229D">
              <w:rPr>
                <w:lang w:val="en-GB"/>
              </w:rPr>
              <w:t xml:space="preserve">Social Procurement Framework </w:t>
            </w:r>
          </w:p>
        </w:tc>
        <w:tc>
          <w:tcPr>
            <w:cnfStyle w:val="000001000000" w:firstRow="0" w:lastRow="0" w:firstColumn="0" w:lastColumn="0" w:oddVBand="0" w:evenVBand="1" w:oddHBand="0" w:evenHBand="0" w:firstRowFirstColumn="0" w:firstRowLastColumn="0" w:lastRowFirstColumn="0" w:lastRowLastColumn="0"/>
            <w:tcW w:w="8293" w:type="dxa"/>
          </w:tcPr>
          <w:p w14:paraId="5C48385C" w14:textId="6D85D4F0" w:rsidR="00FF229D" w:rsidRPr="00FF229D" w:rsidRDefault="00FF229D" w:rsidP="00463C66">
            <w:pPr>
              <w:pStyle w:val="TableCopy"/>
              <w:rPr>
                <w:lang w:val="en-GB"/>
              </w:rPr>
            </w:pPr>
            <w:r w:rsidRPr="00FF229D">
              <w:rPr>
                <w:lang w:val="en-GB"/>
              </w:rPr>
              <w:t xml:space="preserve">A </w:t>
            </w:r>
            <w:hyperlink r:id="rId43" w:history="1">
              <w:r w:rsidRPr="00FA17A0">
                <w:rPr>
                  <w:rStyle w:val="Hyperlink"/>
                  <w:b/>
                  <w:bCs/>
                  <w:lang w:val="en-GB"/>
                </w:rPr>
                <w:t>whole-of-government framework</w:t>
              </w:r>
            </w:hyperlink>
            <w:r w:rsidRPr="00FF229D">
              <w:rPr>
                <w:lang w:val="en-GB"/>
              </w:rPr>
              <w:t xml:space="preserve"> that requires government buyers and suppliers to deliver social, economic and environmental outcomes that benefit the Victorian community through both direct and indirect methods. Direct methods are purchasing goods, services or construction (by government) from Victorian social enterprises, Victorian Aboriginal businesses and other social benefit suppliers, including Victorian based Australian Disability Enterprises. Indirect methods use the invitation to supply process and clauses in contracts with the private sector to seek social and sustainable outcomes for Victorians.</w:t>
            </w:r>
          </w:p>
        </w:tc>
      </w:tr>
      <w:tr w:rsidR="00FF229D" w:rsidRPr="00FF229D" w14:paraId="51F4D536"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77D975CD" w14:textId="77777777" w:rsidR="00FF229D" w:rsidRPr="00FF229D" w:rsidRDefault="00FF229D" w:rsidP="00463C66">
            <w:pPr>
              <w:pStyle w:val="TableHeading"/>
              <w:rPr>
                <w:lang w:val="en-GB"/>
              </w:rPr>
            </w:pPr>
            <w:r w:rsidRPr="00FF229D">
              <w:rPr>
                <w:lang w:val="en-GB"/>
              </w:rPr>
              <w:t>Social enterprises</w:t>
            </w:r>
          </w:p>
        </w:tc>
        <w:tc>
          <w:tcPr>
            <w:cnfStyle w:val="000001000000" w:firstRow="0" w:lastRow="0" w:firstColumn="0" w:lastColumn="0" w:oddVBand="0" w:evenVBand="1" w:oddHBand="0" w:evenHBand="0" w:firstRowFirstColumn="0" w:firstRowLastColumn="0" w:lastRowFirstColumn="0" w:lastRowLastColumn="0"/>
            <w:tcW w:w="8293" w:type="dxa"/>
          </w:tcPr>
          <w:p w14:paraId="6C89218C" w14:textId="77777777" w:rsidR="00FF229D" w:rsidRPr="00FF229D" w:rsidRDefault="00FF229D" w:rsidP="00463C66">
            <w:pPr>
              <w:pStyle w:val="TableCopy"/>
              <w:rPr>
                <w:lang w:val="en-GB"/>
              </w:rPr>
            </w:pPr>
            <w:r w:rsidRPr="00FF229D">
              <w:rPr>
                <w:lang w:val="en-GB"/>
              </w:rPr>
              <w:t>Social enterprises are organisations which are:</w:t>
            </w:r>
          </w:p>
          <w:p w14:paraId="63D8DD3C" w14:textId="77777777" w:rsidR="00FF229D" w:rsidRPr="00FF229D" w:rsidRDefault="00FF229D" w:rsidP="005E4BDA">
            <w:pPr>
              <w:pStyle w:val="TableBullet"/>
              <w:rPr>
                <w:lang w:val="en-GB"/>
              </w:rPr>
            </w:pPr>
            <w:r w:rsidRPr="00FF229D">
              <w:rPr>
                <w:lang w:val="en-GB"/>
              </w:rPr>
              <w:t>led by an economic, social, cultural, or environmental mission consistent with a public or community benefit</w:t>
            </w:r>
          </w:p>
          <w:p w14:paraId="11AC3DDC" w14:textId="77777777" w:rsidR="00FF229D" w:rsidRPr="00FF229D" w:rsidRDefault="00FF229D" w:rsidP="005E4BDA">
            <w:pPr>
              <w:pStyle w:val="TableBullet"/>
              <w:rPr>
                <w:lang w:val="en-GB"/>
              </w:rPr>
            </w:pPr>
            <w:r w:rsidRPr="00FF229D">
              <w:rPr>
                <w:lang w:val="en-GB"/>
              </w:rPr>
              <w:t>derive a substantial portion of their income from trade</w:t>
            </w:r>
          </w:p>
          <w:p w14:paraId="17CDEC74" w14:textId="3BEEAB8C" w:rsidR="00FF229D" w:rsidRPr="00FF229D" w:rsidRDefault="00FF229D" w:rsidP="005E4BDA">
            <w:pPr>
              <w:pStyle w:val="TableBullet"/>
              <w:rPr>
                <w:lang w:val="en-GB"/>
              </w:rPr>
            </w:pPr>
            <w:r w:rsidRPr="00FF229D">
              <w:rPr>
                <w:lang w:val="en-GB"/>
              </w:rPr>
              <w:t>reinvest the majority of their profit/surplus in the fulfilment of their mission.</w:t>
            </w:r>
          </w:p>
        </w:tc>
      </w:tr>
      <w:tr w:rsidR="00FF229D" w:rsidRPr="00FF229D" w14:paraId="7F41CD6A"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38A465DD" w14:textId="77777777" w:rsidR="00FF229D" w:rsidRPr="00FF229D" w:rsidRDefault="00FF229D" w:rsidP="00463C66">
            <w:pPr>
              <w:pStyle w:val="TableHeading"/>
              <w:rPr>
                <w:lang w:val="en-GB"/>
              </w:rPr>
            </w:pPr>
            <w:r w:rsidRPr="00FF229D">
              <w:rPr>
                <w:lang w:val="en-GB"/>
              </w:rPr>
              <w:t>Statutory declaration</w:t>
            </w:r>
          </w:p>
        </w:tc>
        <w:tc>
          <w:tcPr>
            <w:cnfStyle w:val="000001000000" w:firstRow="0" w:lastRow="0" w:firstColumn="0" w:lastColumn="0" w:oddVBand="0" w:evenVBand="1" w:oddHBand="0" w:evenHBand="0" w:firstRowFirstColumn="0" w:firstRowLastColumn="0" w:lastRowFirstColumn="0" w:lastRowLastColumn="0"/>
            <w:tcW w:w="8293" w:type="dxa"/>
          </w:tcPr>
          <w:p w14:paraId="15E4A2AF" w14:textId="77777777" w:rsidR="00FF229D" w:rsidRPr="00FF229D" w:rsidRDefault="00FF229D" w:rsidP="00463C66">
            <w:pPr>
              <w:pStyle w:val="TableCopy"/>
              <w:rPr>
                <w:lang w:val="en-GB"/>
              </w:rPr>
            </w:pPr>
            <w:r w:rsidRPr="00FF229D">
              <w:rPr>
                <w:lang w:val="en-GB"/>
              </w:rPr>
              <w:t xml:space="preserve">A legal document that contains a signed written statement declaring something to be true. It must be witnesses by an authorised statutory declaration witness. </w:t>
            </w:r>
          </w:p>
        </w:tc>
      </w:tr>
      <w:tr w:rsidR="00FF229D" w:rsidRPr="00FF229D" w14:paraId="7A08C7F5"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1A726468" w14:textId="77777777" w:rsidR="00FF229D" w:rsidRPr="00FF229D" w:rsidRDefault="00FF229D" w:rsidP="00463C66">
            <w:pPr>
              <w:pStyle w:val="TableHeading"/>
              <w:rPr>
                <w:lang w:val="en-GB"/>
              </w:rPr>
            </w:pPr>
            <w:r w:rsidRPr="00FF229D">
              <w:rPr>
                <w:lang w:val="en-GB"/>
              </w:rPr>
              <w:t>Sole trader</w:t>
            </w:r>
          </w:p>
        </w:tc>
        <w:tc>
          <w:tcPr>
            <w:cnfStyle w:val="000001000000" w:firstRow="0" w:lastRow="0" w:firstColumn="0" w:lastColumn="0" w:oddVBand="0" w:evenVBand="1" w:oddHBand="0" w:evenHBand="0" w:firstRowFirstColumn="0" w:firstRowLastColumn="0" w:lastRowFirstColumn="0" w:lastRowLastColumn="0"/>
            <w:tcW w:w="8293" w:type="dxa"/>
          </w:tcPr>
          <w:p w14:paraId="318297DD" w14:textId="54426FE9" w:rsidR="00FF229D" w:rsidRPr="00FF229D" w:rsidRDefault="00FF229D" w:rsidP="00463C66">
            <w:pPr>
              <w:pStyle w:val="TableCopy"/>
              <w:rPr>
                <w:lang w:val="en-GB"/>
              </w:rPr>
            </w:pPr>
            <w:r w:rsidRPr="00FF229D">
              <w:rPr>
                <w:lang w:val="en-GB"/>
              </w:rPr>
              <w:t>An individual who is the exclusive/only owner of a business. A sole trader is entitled to keep all the profits after tax has been paid and is accountable for all losses.</w:t>
            </w:r>
          </w:p>
        </w:tc>
      </w:tr>
      <w:tr w:rsidR="00FF229D" w:rsidRPr="00FF229D" w14:paraId="5566A6B9"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3DEBF791" w14:textId="77777777" w:rsidR="00FF229D" w:rsidRPr="00FF229D" w:rsidRDefault="00FF229D" w:rsidP="00463C66">
            <w:pPr>
              <w:pStyle w:val="TableHeading"/>
              <w:rPr>
                <w:lang w:val="en-GB"/>
              </w:rPr>
            </w:pPr>
            <w:r w:rsidRPr="00FF229D">
              <w:rPr>
                <w:lang w:val="en-GB"/>
              </w:rPr>
              <w:t>Training</w:t>
            </w:r>
          </w:p>
        </w:tc>
        <w:tc>
          <w:tcPr>
            <w:cnfStyle w:val="000001000000" w:firstRow="0" w:lastRow="0" w:firstColumn="0" w:lastColumn="0" w:oddVBand="0" w:evenVBand="1" w:oddHBand="0" w:evenHBand="0" w:firstRowFirstColumn="0" w:firstRowLastColumn="0" w:lastRowFirstColumn="0" w:lastRowLastColumn="0"/>
            <w:tcW w:w="8293" w:type="dxa"/>
          </w:tcPr>
          <w:p w14:paraId="20854F5E" w14:textId="77777777" w:rsidR="00FF229D" w:rsidRPr="00FF229D" w:rsidRDefault="00FF229D" w:rsidP="00463C66">
            <w:pPr>
              <w:pStyle w:val="TableCopy"/>
              <w:rPr>
                <w:lang w:val="en-GB"/>
              </w:rPr>
            </w:pPr>
            <w:r w:rsidRPr="00FF229D">
              <w:rPr>
                <w:lang w:val="en-GB"/>
              </w:rPr>
              <w:t>Training includes employees completing one or more of the following activities which must be relevant to their job:</w:t>
            </w:r>
          </w:p>
          <w:p w14:paraId="35428CE2" w14:textId="77777777" w:rsidR="00FF229D" w:rsidRPr="00FF229D" w:rsidRDefault="00FF229D" w:rsidP="00604D98">
            <w:pPr>
              <w:pStyle w:val="Bullet"/>
              <w:rPr>
                <w:lang w:val="en-GB"/>
              </w:rPr>
            </w:pPr>
            <w:r w:rsidRPr="00FF229D">
              <w:rPr>
                <w:lang w:val="en-GB"/>
              </w:rPr>
              <w:t xml:space="preserve">Informal upskilling </w:t>
            </w:r>
            <w:proofErr w:type="gramStart"/>
            <w:r w:rsidRPr="00FF229D">
              <w:rPr>
                <w:lang w:val="en-GB"/>
              </w:rPr>
              <w:t>e.g.</w:t>
            </w:r>
            <w:proofErr w:type="gramEnd"/>
            <w:r w:rsidRPr="00FF229D">
              <w:rPr>
                <w:lang w:val="en-GB"/>
              </w:rPr>
              <w:t xml:space="preserve"> on-the-job training</w:t>
            </w:r>
          </w:p>
          <w:p w14:paraId="55239BBB" w14:textId="7AACA301" w:rsidR="00FF229D" w:rsidRPr="00FF229D" w:rsidRDefault="00FF229D" w:rsidP="00604D98">
            <w:pPr>
              <w:pStyle w:val="Bullet"/>
              <w:rPr>
                <w:lang w:val="en-GB"/>
              </w:rPr>
            </w:pPr>
            <w:r w:rsidRPr="00FF229D">
              <w:rPr>
                <w:lang w:val="en-GB"/>
              </w:rPr>
              <w:t xml:space="preserve">Micro-credentialing </w:t>
            </w:r>
            <w:proofErr w:type="gramStart"/>
            <w:r w:rsidRPr="00FF229D">
              <w:rPr>
                <w:lang w:val="en-GB"/>
              </w:rPr>
              <w:t>i.e.</w:t>
            </w:r>
            <w:proofErr w:type="gramEnd"/>
            <w:r w:rsidRPr="00FF229D">
              <w:rPr>
                <w:lang w:val="en-GB"/>
              </w:rPr>
              <w:t xml:space="preserve"> a short competency-based recognition for the enterprise (soft) skills employees currently use in the workplace.</w:t>
            </w:r>
          </w:p>
          <w:p w14:paraId="521A48C6" w14:textId="77777777" w:rsidR="00FF229D" w:rsidRPr="00FF229D" w:rsidRDefault="00FF229D" w:rsidP="00604D98">
            <w:pPr>
              <w:pStyle w:val="Bullet"/>
              <w:rPr>
                <w:lang w:val="en-GB"/>
              </w:rPr>
            </w:pPr>
            <w:r w:rsidRPr="00FF229D">
              <w:rPr>
                <w:lang w:val="en-GB"/>
              </w:rPr>
              <w:t xml:space="preserve">Formal qualifications </w:t>
            </w:r>
            <w:proofErr w:type="gramStart"/>
            <w:r w:rsidRPr="00FF229D">
              <w:rPr>
                <w:lang w:val="en-GB"/>
              </w:rPr>
              <w:t>e.g.</w:t>
            </w:r>
            <w:proofErr w:type="gramEnd"/>
            <w:r w:rsidRPr="00FF229D">
              <w:rPr>
                <w:lang w:val="en-GB"/>
              </w:rPr>
              <w:t xml:space="preserve"> TAFE certificate, diploma, graduate certificate or degree. </w:t>
            </w:r>
          </w:p>
        </w:tc>
      </w:tr>
      <w:tr w:rsidR="00FF229D" w:rsidRPr="00FF229D" w14:paraId="784A1562"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E16FC65" w14:textId="77777777" w:rsidR="00FF229D" w:rsidRPr="00FF229D" w:rsidRDefault="00FF229D" w:rsidP="00463C66">
            <w:pPr>
              <w:pStyle w:val="TableHeading"/>
              <w:rPr>
                <w:lang w:val="en-GB"/>
              </w:rPr>
            </w:pPr>
            <w:r w:rsidRPr="00FF229D">
              <w:rPr>
                <w:lang w:val="en-GB"/>
              </w:rPr>
              <w:t xml:space="preserve">Underemployed </w:t>
            </w:r>
          </w:p>
        </w:tc>
        <w:tc>
          <w:tcPr>
            <w:cnfStyle w:val="000001000000" w:firstRow="0" w:lastRow="0" w:firstColumn="0" w:lastColumn="0" w:oddVBand="0" w:evenVBand="1" w:oddHBand="0" w:evenHBand="0" w:firstRowFirstColumn="0" w:firstRowLastColumn="0" w:lastRowFirstColumn="0" w:lastRowLastColumn="0"/>
            <w:tcW w:w="8293" w:type="dxa"/>
          </w:tcPr>
          <w:p w14:paraId="32DD8BD4" w14:textId="77777777" w:rsidR="00FF229D" w:rsidRPr="00FF229D" w:rsidRDefault="00FF229D" w:rsidP="00463C66">
            <w:pPr>
              <w:pStyle w:val="TableCopy"/>
              <w:rPr>
                <w:lang w:val="en-GB"/>
              </w:rPr>
            </w:pPr>
            <w:r w:rsidRPr="00FF229D">
              <w:rPr>
                <w:lang w:val="en-GB"/>
              </w:rPr>
              <w:t>For the purposes of these guidelines, a person who works no more than 16 hours per fortnight in total under casual employment arrangements.</w:t>
            </w:r>
          </w:p>
        </w:tc>
      </w:tr>
      <w:tr w:rsidR="00FF229D" w:rsidRPr="00FF229D" w14:paraId="01C761D7"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D235AD8" w14:textId="77777777" w:rsidR="00FF229D" w:rsidRPr="00FF229D" w:rsidRDefault="00FF229D" w:rsidP="00463C66">
            <w:pPr>
              <w:pStyle w:val="TableHeading"/>
              <w:rPr>
                <w:lang w:val="en-GB"/>
              </w:rPr>
            </w:pPr>
            <w:r w:rsidRPr="00FF229D">
              <w:rPr>
                <w:lang w:val="en-GB"/>
              </w:rPr>
              <w:t>Unemployed</w:t>
            </w:r>
          </w:p>
        </w:tc>
        <w:tc>
          <w:tcPr>
            <w:cnfStyle w:val="000001000000" w:firstRow="0" w:lastRow="0" w:firstColumn="0" w:lastColumn="0" w:oddVBand="0" w:evenVBand="1" w:oddHBand="0" w:evenHBand="0" w:firstRowFirstColumn="0" w:firstRowLastColumn="0" w:lastRowFirstColumn="0" w:lastRowLastColumn="0"/>
            <w:tcW w:w="8293" w:type="dxa"/>
          </w:tcPr>
          <w:p w14:paraId="6060EF40" w14:textId="56194B26" w:rsidR="00FF229D" w:rsidRPr="00FF229D" w:rsidRDefault="00FF229D" w:rsidP="00463C66">
            <w:pPr>
              <w:pStyle w:val="TableCopy"/>
              <w:rPr>
                <w:lang w:val="en-GB"/>
              </w:rPr>
            </w:pPr>
            <w:r w:rsidRPr="00FF229D">
              <w:rPr>
                <w:lang w:val="en-GB"/>
              </w:rPr>
              <w:t>A person who is unemployed, is not working for one hour or more, is actively seeking work and is currently available for work.</w:t>
            </w:r>
          </w:p>
        </w:tc>
      </w:tr>
      <w:tr w:rsidR="00FF229D" w:rsidRPr="00FF229D" w14:paraId="5C90FF8D"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590124AF" w14:textId="77777777" w:rsidR="00FF229D" w:rsidRPr="00FF229D" w:rsidRDefault="00FF229D" w:rsidP="00463C66">
            <w:pPr>
              <w:pStyle w:val="TableHeading"/>
              <w:rPr>
                <w:lang w:val="en-GB"/>
              </w:rPr>
            </w:pPr>
            <w:r w:rsidRPr="00FF229D">
              <w:rPr>
                <w:lang w:val="en-GB"/>
              </w:rPr>
              <w:t xml:space="preserve">Wages </w:t>
            </w:r>
          </w:p>
        </w:tc>
        <w:tc>
          <w:tcPr>
            <w:cnfStyle w:val="000001000000" w:firstRow="0" w:lastRow="0" w:firstColumn="0" w:lastColumn="0" w:oddVBand="0" w:evenVBand="1" w:oddHBand="0" w:evenHBand="0" w:firstRowFirstColumn="0" w:firstRowLastColumn="0" w:lastRowFirstColumn="0" w:lastRowLastColumn="0"/>
            <w:tcW w:w="8293" w:type="dxa"/>
          </w:tcPr>
          <w:p w14:paraId="1BE93488" w14:textId="77777777" w:rsidR="00FF229D" w:rsidRPr="00FF229D" w:rsidRDefault="00FF229D" w:rsidP="00463C66">
            <w:pPr>
              <w:pStyle w:val="TableCopy"/>
              <w:rPr>
                <w:lang w:val="en-GB"/>
              </w:rPr>
            </w:pPr>
            <w:r w:rsidRPr="00FF229D">
              <w:rPr>
                <w:lang w:val="en-GB"/>
              </w:rPr>
              <w:t xml:space="preserve">Base rates of pay payable to employees for their ordinary hours of work (and related on-costs such as superannuation, annual leave and personal leave, payroll tax or </w:t>
            </w:r>
            <w:proofErr w:type="spellStart"/>
            <w:r w:rsidRPr="00FF229D">
              <w:rPr>
                <w:lang w:val="en-GB"/>
              </w:rPr>
              <w:t>WorkCover</w:t>
            </w:r>
            <w:proofErr w:type="spellEnd"/>
            <w:r w:rsidRPr="00FF229D">
              <w:rPr>
                <w:lang w:val="en-GB"/>
              </w:rPr>
              <w:t xml:space="preserve"> Insurance costs) and including loadings, penalties and monetary allowances (</w:t>
            </w:r>
            <w:proofErr w:type="gramStart"/>
            <w:r w:rsidRPr="00FF229D">
              <w:rPr>
                <w:lang w:val="en-GB"/>
              </w:rPr>
              <w:t>e.g.</w:t>
            </w:r>
            <w:proofErr w:type="gramEnd"/>
            <w:r w:rsidRPr="00FF229D">
              <w:rPr>
                <w:lang w:val="en-GB"/>
              </w:rPr>
              <w:t xml:space="preserve"> dirty-work allowance, first aid allowance, adverse working conditions allowance). Wages do not include incentive-based payments, bonuses or overtime.</w:t>
            </w:r>
          </w:p>
        </w:tc>
      </w:tr>
      <w:tr w:rsidR="00FF229D" w:rsidRPr="00FF229D" w14:paraId="47408A0F" w14:textId="77777777" w:rsidTr="00463C66">
        <w:trPr>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41A89C43" w14:textId="77777777" w:rsidR="00FF229D" w:rsidRPr="00FF229D" w:rsidRDefault="00FF229D" w:rsidP="00463C66">
            <w:pPr>
              <w:pStyle w:val="TableHeading"/>
              <w:rPr>
                <w:lang w:val="en-GB"/>
              </w:rPr>
            </w:pPr>
            <w:proofErr w:type="spellStart"/>
            <w:r w:rsidRPr="00FF229D">
              <w:rPr>
                <w:lang w:val="en-GB"/>
              </w:rPr>
              <w:t>WorkCover</w:t>
            </w:r>
            <w:proofErr w:type="spellEnd"/>
            <w:r w:rsidRPr="00FF229D">
              <w:rPr>
                <w:lang w:val="en-GB"/>
              </w:rPr>
              <w:t xml:space="preserve"> insurance </w:t>
            </w:r>
          </w:p>
        </w:tc>
        <w:tc>
          <w:tcPr>
            <w:cnfStyle w:val="000001000000" w:firstRow="0" w:lastRow="0" w:firstColumn="0" w:lastColumn="0" w:oddVBand="0" w:evenVBand="1" w:oddHBand="0" w:evenHBand="0" w:firstRowFirstColumn="0" w:firstRowLastColumn="0" w:lastRowFirstColumn="0" w:lastRowLastColumn="0"/>
            <w:tcW w:w="8293" w:type="dxa"/>
          </w:tcPr>
          <w:p w14:paraId="7C7FA096" w14:textId="77777777" w:rsidR="00FF229D" w:rsidRPr="00FF229D" w:rsidRDefault="00FF229D" w:rsidP="00463C66">
            <w:pPr>
              <w:pStyle w:val="TableCopy"/>
              <w:rPr>
                <w:lang w:val="en-GB"/>
              </w:rPr>
            </w:pPr>
            <w:r w:rsidRPr="00FF229D">
              <w:rPr>
                <w:lang w:val="en-GB"/>
              </w:rPr>
              <w:t xml:space="preserve">Covers employers for the cost of benefits if employees are injured or become sick because of their work. It is compulsory for Victorian employers and is funded by their contributions. </w:t>
            </w:r>
          </w:p>
        </w:tc>
      </w:tr>
      <w:tr w:rsidR="00FF229D" w:rsidRPr="00FF229D" w14:paraId="1E1A2DF5" w14:textId="77777777" w:rsidTr="00463C66">
        <w:trPr>
          <w:cnfStyle w:val="000000100000" w:firstRow="0" w:lastRow="0" w:firstColumn="0" w:lastColumn="0" w:oddVBand="0" w:evenVBand="0" w:oddHBand="1" w:evenHBand="0" w:firstRowFirstColumn="0" w:firstRowLastColumn="0" w:lastRowFirstColumn="0" w:lastRowLastColumn="0"/>
          <w:cantSplit/>
          <w:trHeight w:val="113"/>
        </w:trPr>
        <w:tc>
          <w:tcPr>
            <w:cnfStyle w:val="000010000000" w:firstRow="0" w:lastRow="0" w:firstColumn="0" w:lastColumn="0" w:oddVBand="1" w:evenVBand="0" w:oddHBand="0" w:evenHBand="0" w:firstRowFirstColumn="0" w:firstRowLastColumn="0" w:lastRowFirstColumn="0" w:lastRowLastColumn="0"/>
            <w:tcW w:w="2339" w:type="dxa"/>
          </w:tcPr>
          <w:p w14:paraId="11FD4D20" w14:textId="77777777" w:rsidR="00FF229D" w:rsidRPr="00FF229D" w:rsidRDefault="00FF229D" w:rsidP="00463C66">
            <w:pPr>
              <w:pStyle w:val="TableHeading"/>
              <w:rPr>
                <w:lang w:val="en-GB"/>
              </w:rPr>
            </w:pPr>
            <w:r w:rsidRPr="00FF229D">
              <w:rPr>
                <w:lang w:val="en-GB"/>
              </w:rPr>
              <w:t xml:space="preserve">Working for Victoria </w:t>
            </w:r>
          </w:p>
        </w:tc>
        <w:tc>
          <w:tcPr>
            <w:cnfStyle w:val="000001000000" w:firstRow="0" w:lastRow="0" w:firstColumn="0" w:lastColumn="0" w:oddVBand="0" w:evenVBand="1" w:oddHBand="0" w:evenHBand="0" w:firstRowFirstColumn="0" w:firstRowLastColumn="0" w:lastRowFirstColumn="0" w:lastRowLastColumn="0"/>
            <w:tcW w:w="8293" w:type="dxa"/>
          </w:tcPr>
          <w:p w14:paraId="3D8478C7" w14:textId="0CBDF978" w:rsidR="00FF229D" w:rsidRPr="00FF229D" w:rsidRDefault="00FF229D" w:rsidP="00463C66">
            <w:pPr>
              <w:pStyle w:val="TableCopy"/>
              <w:rPr>
                <w:lang w:val="en-GB"/>
              </w:rPr>
            </w:pPr>
            <w:r w:rsidRPr="00FF229D">
              <w:rPr>
                <w:lang w:val="en-GB"/>
              </w:rPr>
              <w:t>The $500 million Working for Victoria initiative helped Victorian jobseekers find work and employers find workers. This included people who had lost their jobs and businesses who need workers due to the impacts of coronavirus (COVID-19) pandemic.</w:t>
            </w:r>
          </w:p>
        </w:tc>
      </w:tr>
    </w:tbl>
    <w:p w14:paraId="6D61C44D" w14:textId="77777777" w:rsidR="00FF229D" w:rsidRPr="00FF229D" w:rsidRDefault="00FF229D" w:rsidP="00FF229D">
      <w:pPr>
        <w:rPr>
          <w:lang w:val="en-GB"/>
        </w:rPr>
      </w:pPr>
    </w:p>
    <w:p w14:paraId="0274B23B" w14:textId="77777777" w:rsidR="007C7738" w:rsidRPr="007C7738" w:rsidRDefault="007C7738" w:rsidP="007C7738">
      <w:pPr>
        <w:rPr>
          <w:lang w:val="en-GB"/>
        </w:rPr>
      </w:pPr>
    </w:p>
    <w:sectPr w:rsidR="007C7738" w:rsidRPr="007C7738" w:rsidSect="002F01A7">
      <w:footerReference w:type="even" r:id="rId44"/>
      <w:footerReference w:type="default" r:id="rId4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0698" w14:textId="77777777" w:rsidR="003C12A6" w:rsidRDefault="003C12A6" w:rsidP="00E56313">
      <w:r>
        <w:separator/>
      </w:r>
    </w:p>
    <w:p w14:paraId="009FC53F" w14:textId="77777777" w:rsidR="003C12A6" w:rsidRDefault="003C12A6" w:rsidP="00E56313"/>
    <w:p w14:paraId="0C5EB511" w14:textId="77777777" w:rsidR="003C12A6" w:rsidRDefault="003C12A6" w:rsidP="00E56313"/>
  </w:endnote>
  <w:endnote w:type="continuationSeparator" w:id="0">
    <w:p w14:paraId="605FFFD5" w14:textId="77777777" w:rsidR="003C12A6" w:rsidRDefault="003C12A6" w:rsidP="00E56313">
      <w:r>
        <w:continuationSeparator/>
      </w:r>
    </w:p>
    <w:p w14:paraId="5DE669C1" w14:textId="77777777" w:rsidR="003C12A6" w:rsidRDefault="003C12A6" w:rsidP="00E56313"/>
    <w:p w14:paraId="6B73EB53" w14:textId="77777777" w:rsidR="003C12A6" w:rsidRDefault="003C12A6" w:rsidP="00E56313"/>
  </w:endnote>
  <w:endnote w:type="continuationNotice" w:id="1">
    <w:p w14:paraId="7FBA3BFA" w14:textId="77777777" w:rsidR="003C12A6" w:rsidRDefault="003C12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altName w:val="VIC Light"/>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1178F621" w:rsidR="00843667" w:rsidRPr="00290BF9" w:rsidRDefault="00843667"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1C05FF">
      <w:rPr>
        <w:rStyle w:val="Strong"/>
        <w:noProof/>
      </w:rPr>
      <w:t>1</w:t>
    </w:r>
    <w:r w:rsidRPr="00290BF9">
      <w:rPr>
        <w:rStyle w:val="Strong"/>
      </w:rPr>
      <w:fldChar w:fldCharType="end"/>
    </w:r>
  </w:p>
  <w:p w14:paraId="3FE91112" w14:textId="4B3A1A09" w:rsidR="0061599A" w:rsidRPr="007C7738" w:rsidRDefault="007C7738" w:rsidP="007C7738">
    <w:pPr>
      <w:rPr>
        <w:rStyle w:val="IntenseEmphasis"/>
        <w:b/>
        <w:bCs/>
        <w:color w:val="auto"/>
        <w:lang w:val="en-GB"/>
      </w:rPr>
    </w:pPr>
    <w:r w:rsidRPr="007C7738">
      <w:rPr>
        <w:b/>
        <w:bCs/>
        <w:i/>
        <w:iCs/>
        <w:lang w:val="en-GB"/>
      </w:rPr>
      <w:t>Jobs Victoria Fund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A85E0" w14:textId="77777777" w:rsidR="003C12A6" w:rsidRDefault="003C12A6" w:rsidP="00E56313">
      <w:r>
        <w:separator/>
      </w:r>
    </w:p>
    <w:p w14:paraId="255EB88B" w14:textId="77777777" w:rsidR="003C12A6" w:rsidRDefault="003C12A6" w:rsidP="00E56313"/>
    <w:p w14:paraId="3DDA81FD" w14:textId="77777777" w:rsidR="003C12A6" w:rsidRDefault="003C12A6" w:rsidP="00E56313"/>
  </w:footnote>
  <w:footnote w:type="continuationSeparator" w:id="0">
    <w:p w14:paraId="27CB86BE" w14:textId="77777777" w:rsidR="003C12A6" w:rsidRDefault="003C12A6" w:rsidP="00E56313">
      <w:r>
        <w:continuationSeparator/>
      </w:r>
    </w:p>
    <w:p w14:paraId="45FCDF86" w14:textId="77777777" w:rsidR="003C12A6" w:rsidRDefault="003C12A6" w:rsidP="00E56313"/>
    <w:p w14:paraId="1117E083" w14:textId="77777777" w:rsidR="003C12A6" w:rsidRDefault="003C12A6" w:rsidP="00E56313"/>
  </w:footnote>
  <w:footnote w:type="continuationNotice" w:id="1">
    <w:p w14:paraId="71BB7A1E" w14:textId="77777777" w:rsidR="003C12A6" w:rsidRDefault="003C12A6">
      <w:pPr>
        <w:spacing w:after="0"/>
      </w:pPr>
    </w:p>
  </w:footnote>
  <w:footnote w:id="2">
    <w:p w14:paraId="5AB4B5EE" w14:textId="6EF9B8F9" w:rsidR="00FF229D" w:rsidRDefault="00FF229D" w:rsidP="00FF229D">
      <w:r>
        <w:rPr>
          <w:vertAlign w:val="superscript"/>
        </w:rPr>
        <w:footnoteRef/>
      </w:r>
      <w:r>
        <w:t>.</w:t>
      </w:r>
      <w:r>
        <w:tab/>
        <w:t>Throughout this document the term “Aboriginal” is used to refer to Aboriginal and/or Torres Strait Islander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FB4"/>
    <w:multiLevelType w:val="hybridMultilevel"/>
    <w:tmpl w:val="EF0AEB02"/>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4E44"/>
    <w:multiLevelType w:val="multilevel"/>
    <w:tmpl w:val="116E23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BE277B"/>
    <w:multiLevelType w:val="hybridMultilevel"/>
    <w:tmpl w:val="F2F42262"/>
    <w:lvl w:ilvl="0" w:tplc="625E4690">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7432"/>
    <w:multiLevelType w:val="hybridMultilevel"/>
    <w:tmpl w:val="02A02666"/>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0B17"/>
    <w:multiLevelType w:val="hybridMultilevel"/>
    <w:tmpl w:val="3AD45D86"/>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B6EA5"/>
    <w:multiLevelType w:val="hybridMultilevel"/>
    <w:tmpl w:val="F93C0D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37480"/>
    <w:multiLevelType w:val="hybridMultilevel"/>
    <w:tmpl w:val="6540BF70"/>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D60EA"/>
    <w:multiLevelType w:val="hybridMultilevel"/>
    <w:tmpl w:val="9DCAF1F8"/>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F1E0A"/>
    <w:multiLevelType w:val="hybridMultilevel"/>
    <w:tmpl w:val="137828DA"/>
    <w:lvl w:ilvl="0" w:tplc="E3D06372">
      <w:start w:val="1"/>
      <w:numFmt w:val="bullet"/>
      <w:pStyle w:val="Tablebullet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9387A"/>
    <w:multiLevelType w:val="multilevel"/>
    <w:tmpl w:val="F2F42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F2130A"/>
    <w:multiLevelType w:val="hybridMultilevel"/>
    <w:tmpl w:val="47FE5D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16325"/>
    <w:multiLevelType w:val="multilevel"/>
    <w:tmpl w:val="1B62D5B0"/>
    <w:lvl w:ilvl="0">
      <w:start w:val="1"/>
      <w:numFmt w:val="decimal"/>
      <w:lvlText w:val="%1"/>
      <w:lvlJc w:val="left"/>
      <w:pPr>
        <w:ind w:left="1080" w:hanging="108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8450B4B"/>
    <w:multiLevelType w:val="multilevel"/>
    <w:tmpl w:val="1B62D5B0"/>
    <w:lvl w:ilvl="0">
      <w:start w:val="1"/>
      <w:numFmt w:val="decimal"/>
      <w:lvlText w:val="%1"/>
      <w:lvlJc w:val="left"/>
      <w:pPr>
        <w:ind w:left="1080" w:hanging="108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63520BAA"/>
    <w:multiLevelType w:val="hybridMultilevel"/>
    <w:tmpl w:val="456219CE"/>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67F20"/>
    <w:multiLevelType w:val="hybridMultilevel"/>
    <w:tmpl w:val="729401EC"/>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7334D"/>
    <w:multiLevelType w:val="hybridMultilevel"/>
    <w:tmpl w:val="845C21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D3839"/>
    <w:multiLevelType w:val="hybridMultilevel"/>
    <w:tmpl w:val="4FB2C0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A55B2"/>
    <w:multiLevelType w:val="hybridMultilevel"/>
    <w:tmpl w:val="C2D4C59C"/>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56D89"/>
    <w:multiLevelType w:val="hybridMultilevel"/>
    <w:tmpl w:val="E50CAFF0"/>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C1C0B"/>
    <w:multiLevelType w:val="hybridMultilevel"/>
    <w:tmpl w:val="282EB2D8"/>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4"/>
  </w:num>
  <w:num w:numId="5">
    <w:abstractNumId w:val="3"/>
  </w:num>
  <w:num w:numId="6">
    <w:abstractNumId w:val="19"/>
  </w:num>
  <w:num w:numId="7">
    <w:abstractNumId w:val="6"/>
  </w:num>
  <w:num w:numId="8">
    <w:abstractNumId w:val="15"/>
  </w:num>
  <w:num w:numId="9">
    <w:abstractNumId w:val="12"/>
  </w:num>
  <w:num w:numId="10">
    <w:abstractNumId w:val="18"/>
  </w:num>
  <w:num w:numId="11">
    <w:abstractNumId w:val="1"/>
  </w:num>
  <w:num w:numId="12">
    <w:abstractNumId w:val="9"/>
  </w:num>
  <w:num w:numId="13">
    <w:abstractNumId w:val="8"/>
  </w:num>
  <w:num w:numId="14">
    <w:abstractNumId w:val="16"/>
  </w:num>
  <w:num w:numId="15">
    <w:abstractNumId w:val="0"/>
  </w:num>
  <w:num w:numId="16">
    <w:abstractNumId w:val="10"/>
  </w:num>
  <w:num w:numId="17">
    <w:abstractNumId w:val="20"/>
  </w:num>
  <w:num w:numId="18">
    <w:abstractNumId w:val="5"/>
  </w:num>
  <w:num w:numId="19">
    <w:abstractNumId w:val="14"/>
  </w:num>
  <w:num w:numId="20">
    <w:abstractNumId w:val="17"/>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07110"/>
    <w:rsid w:val="0001071B"/>
    <w:rsid w:val="00013889"/>
    <w:rsid w:val="00014F12"/>
    <w:rsid w:val="00017775"/>
    <w:rsid w:val="000179CF"/>
    <w:rsid w:val="00030496"/>
    <w:rsid w:val="000357B3"/>
    <w:rsid w:val="000419C6"/>
    <w:rsid w:val="00053101"/>
    <w:rsid w:val="000536A2"/>
    <w:rsid w:val="0007655E"/>
    <w:rsid w:val="000817FA"/>
    <w:rsid w:val="00087128"/>
    <w:rsid w:val="0009513B"/>
    <w:rsid w:val="00095A8B"/>
    <w:rsid w:val="000A1660"/>
    <w:rsid w:val="000B09F9"/>
    <w:rsid w:val="000B3D0A"/>
    <w:rsid w:val="000B47BF"/>
    <w:rsid w:val="000B5F85"/>
    <w:rsid w:val="000C72E5"/>
    <w:rsid w:val="000D0DAB"/>
    <w:rsid w:val="000E338C"/>
    <w:rsid w:val="00100DAC"/>
    <w:rsid w:val="0011399C"/>
    <w:rsid w:val="00125F18"/>
    <w:rsid w:val="00126842"/>
    <w:rsid w:val="00127A68"/>
    <w:rsid w:val="0016713D"/>
    <w:rsid w:val="001745B8"/>
    <w:rsid w:val="001748EF"/>
    <w:rsid w:val="00194343"/>
    <w:rsid w:val="001C05FF"/>
    <w:rsid w:val="001C600B"/>
    <w:rsid w:val="001D37F7"/>
    <w:rsid w:val="001E69FF"/>
    <w:rsid w:val="00203883"/>
    <w:rsid w:val="00210DDC"/>
    <w:rsid w:val="00214934"/>
    <w:rsid w:val="002168B2"/>
    <w:rsid w:val="00217BFD"/>
    <w:rsid w:val="0022451E"/>
    <w:rsid w:val="00224C72"/>
    <w:rsid w:val="002275CB"/>
    <w:rsid w:val="0023503A"/>
    <w:rsid w:val="002362AB"/>
    <w:rsid w:val="00247E42"/>
    <w:rsid w:val="00272C5D"/>
    <w:rsid w:val="0028138E"/>
    <w:rsid w:val="00284955"/>
    <w:rsid w:val="00290BF9"/>
    <w:rsid w:val="00294AA3"/>
    <w:rsid w:val="002962D1"/>
    <w:rsid w:val="00297C38"/>
    <w:rsid w:val="002A6DB1"/>
    <w:rsid w:val="002B1924"/>
    <w:rsid w:val="002B6E14"/>
    <w:rsid w:val="002B7736"/>
    <w:rsid w:val="002B7DAA"/>
    <w:rsid w:val="002D2EC0"/>
    <w:rsid w:val="002F01A7"/>
    <w:rsid w:val="003046E4"/>
    <w:rsid w:val="0031065A"/>
    <w:rsid w:val="00316016"/>
    <w:rsid w:val="00324BAD"/>
    <w:rsid w:val="003302F6"/>
    <w:rsid w:val="0034186D"/>
    <w:rsid w:val="00343AFC"/>
    <w:rsid w:val="0035735A"/>
    <w:rsid w:val="00362FBA"/>
    <w:rsid w:val="00366BEE"/>
    <w:rsid w:val="0037064F"/>
    <w:rsid w:val="003706B8"/>
    <w:rsid w:val="00385B49"/>
    <w:rsid w:val="00395308"/>
    <w:rsid w:val="003A1138"/>
    <w:rsid w:val="003A4DDD"/>
    <w:rsid w:val="003A5422"/>
    <w:rsid w:val="003B54EC"/>
    <w:rsid w:val="003C12A6"/>
    <w:rsid w:val="003C4BEA"/>
    <w:rsid w:val="003C5E3F"/>
    <w:rsid w:val="003D05B6"/>
    <w:rsid w:val="003D0AE9"/>
    <w:rsid w:val="003D7499"/>
    <w:rsid w:val="003E5FEE"/>
    <w:rsid w:val="003E7F9F"/>
    <w:rsid w:val="003F3EA5"/>
    <w:rsid w:val="003F4C53"/>
    <w:rsid w:val="004035E0"/>
    <w:rsid w:val="00424007"/>
    <w:rsid w:val="0042767C"/>
    <w:rsid w:val="0043220F"/>
    <w:rsid w:val="0043282A"/>
    <w:rsid w:val="00434102"/>
    <w:rsid w:val="00435127"/>
    <w:rsid w:val="00442ABC"/>
    <w:rsid w:val="00451405"/>
    <w:rsid w:val="00457937"/>
    <w:rsid w:val="00463C66"/>
    <w:rsid w:val="00464890"/>
    <w:rsid w:val="004732DA"/>
    <w:rsid w:val="00473AB1"/>
    <w:rsid w:val="00475EB6"/>
    <w:rsid w:val="004A0C1E"/>
    <w:rsid w:val="004A15DF"/>
    <w:rsid w:val="004A7315"/>
    <w:rsid w:val="004A7F88"/>
    <w:rsid w:val="004B4224"/>
    <w:rsid w:val="004B4347"/>
    <w:rsid w:val="004D0B04"/>
    <w:rsid w:val="004D273C"/>
    <w:rsid w:val="004E39BA"/>
    <w:rsid w:val="005003DD"/>
    <w:rsid w:val="00502B76"/>
    <w:rsid w:val="00506C69"/>
    <w:rsid w:val="0051277C"/>
    <w:rsid w:val="00516757"/>
    <w:rsid w:val="00517406"/>
    <w:rsid w:val="00525BA7"/>
    <w:rsid w:val="00532F16"/>
    <w:rsid w:val="00536A1D"/>
    <w:rsid w:val="00545FFB"/>
    <w:rsid w:val="0055465F"/>
    <w:rsid w:val="00560766"/>
    <w:rsid w:val="00561580"/>
    <w:rsid w:val="005751C6"/>
    <w:rsid w:val="0058543D"/>
    <w:rsid w:val="005A7ED7"/>
    <w:rsid w:val="005C6B28"/>
    <w:rsid w:val="005D071C"/>
    <w:rsid w:val="005D196E"/>
    <w:rsid w:val="005E4BDA"/>
    <w:rsid w:val="005E60E0"/>
    <w:rsid w:val="005F614B"/>
    <w:rsid w:val="00604D98"/>
    <w:rsid w:val="00611259"/>
    <w:rsid w:val="0061599A"/>
    <w:rsid w:val="00620020"/>
    <w:rsid w:val="0063431F"/>
    <w:rsid w:val="00635700"/>
    <w:rsid w:val="00640161"/>
    <w:rsid w:val="00643033"/>
    <w:rsid w:val="0065327B"/>
    <w:rsid w:val="00654B59"/>
    <w:rsid w:val="0066012B"/>
    <w:rsid w:val="00660A85"/>
    <w:rsid w:val="00665417"/>
    <w:rsid w:val="0066610A"/>
    <w:rsid w:val="00671B15"/>
    <w:rsid w:val="00681D94"/>
    <w:rsid w:val="00696454"/>
    <w:rsid w:val="00697076"/>
    <w:rsid w:val="006A465C"/>
    <w:rsid w:val="006B34CD"/>
    <w:rsid w:val="006B365E"/>
    <w:rsid w:val="006B61E2"/>
    <w:rsid w:val="006E10B6"/>
    <w:rsid w:val="006F595D"/>
    <w:rsid w:val="00701AC3"/>
    <w:rsid w:val="00703A29"/>
    <w:rsid w:val="00715EF9"/>
    <w:rsid w:val="0071640C"/>
    <w:rsid w:val="00723340"/>
    <w:rsid w:val="0073019A"/>
    <w:rsid w:val="00737059"/>
    <w:rsid w:val="007421EA"/>
    <w:rsid w:val="00762F19"/>
    <w:rsid w:val="00763A9B"/>
    <w:rsid w:val="00765B92"/>
    <w:rsid w:val="00783316"/>
    <w:rsid w:val="007A2809"/>
    <w:rsid w:val="007A5FF2"/>
    <w:rsid w:val="007C02A2"/>
    <w:rsid w:val="007C7738"/>
    <w:rsid w:val="007C7C3A"/>
    <w:rsid w:val="007D0491"/>
    <w:rsid w:val="007E1B64"/>
    <w:rsid w:val="007F66CB"/>
    <w:rsid w:val="00800403"/>
    <w:rsid w:val="008017B4"/>
    <w:rsid w:val="00804FD5"/>
    <w:rsid w:val="0082630D"/>
    <w:rsid w:val="008267FD"/>
    <w:rsid w:val="00843667"/>
    <w:rsid w:val="008457D8"/>
    <w:rsid w:val="00854F76"/>
    <w:rsid w:val="0087020B"/>
    <w:rsid w:val="00870866"/>
    <w:rsid w:val="00874A35"/>
    <w:rsid w:val="00877C19"/>
    <w:rsid w:val="00883456"/>
    <w:rsid w:val="00887E2A"/>
    <w:rsid w:val="00890879"/>
    <w:rsid w:val="008C5182"/>
    <w:rsid w:val="008C7567"/>
    <w:rsid w:val="008D4664"/>
    <w:rsid w:val="008D63F5"/>
    <w:rsid w:val="008E055F"/>
    <w:rsid w:val="008E1BD0"/>
    <w:rsid w:val="008E37CC"/>
    <w:rsid w:val="008E5CDF"/>
    <w:rsid w:val="008F066A"/>
    <w:rsid w:val="0090331F"/>
    <w:rsid w:val="009163A2"/>
    <w:rsid w:val="00916CAD"/>
    <w:rsid w:val="00923E8C"/>
    <w:rsid w:val="009324DF"/>
    <w:rsid w:val="00947441"/>
    <w:rsid w:val="00953ED1"/>
    <w:rsid w:val="009644BA"/>
    <w:rsid w:val="009704C6"/>
    <w:rsid w:val="00981395"/>
    <w:rsid w:val="00983D55"/>
    <w:rsid w:val="009840A4"/>
    <w:rsid w:val="00990523"/>
    <w:rsid w:val="009A4B3D"/>
    <w:rsid w:val="009B221C"/>
    <w:rsid w:val="009B6F7B"/>
    <w:rsid w:val="009D5C0B"/>
    <w:rsid w:val="009D7457"/>
    <w:rsid w:val="009D76C8"/>
    <w:rsid w:val="009E2779"/>
    <w:rsid w:val="009E3CE9"/>
    <w:rsid w:val="009E66C3"/>
    <w:rsid w:val="009F2811"/>
    <w:rsid w:val="00A0004C"/>
    <w:rsid w:val="00A05DF5"/>
    <w:rsid w:val="00A2008A"/>
    <w:rsid w:val="00A27738"/>
    <w:rsid w:val="00A31FF2"/>
    <w:rsid w:val="00A37580"/>
    <w:rsid w:val="00A4169E"/>
    <w:rsid w:val="00A43AEA"/>
    <w:rsid w:val="00A44CE5"/>
    <w:rsid w:val="00A56D7C"/>
    <w:rsid w:val="00A66E26"/>
    <w:rsid w:val="00A822BD"/>
    <w:rsid w:val="00A83145"/>
    <w:rsid w:val="00A84713"/>
    <w:rsid w:val="00A93EEA"/>
    <w:rsid w:val="00A95FBC"/>
    <w:rsid w:val="00AA7A4B"/>
    <w:rsid w:val="00AB0812"/>
    <w:rsid w:val="00AB2405"/>
    <w:rsid w:val="00AB6FF0"/>
    <w:rsid w:val="00AC4303"/>
    <w:rsid w:val="00AC4E82"/>
    <w:rsid w:val="00AD026A"/>
    <w:rsid w:val="00AD697F"/>
    <w:rsid w:val="00AE0EE5"/>
    <w:rsid w:val="00AF334F"/>
    <w:rsid w:val="00AF3CEA"/>
    <w:rsid w:val="00B13EDC"/>
    <w:rsid w:val="00B16097"/>
    <w:rsid w:val="00B164E4"/>
    <w:rsid w:val="00B20244"/>
    <w:rsid w:val="00B2145F"/>
    <w:rsid w:val="00B2179D"/>
    <w:rsid w:val="00B336E7"/>
    <w:rsid w:val="00B33A20"/>
    <w:rsid w:val="00B46E0D"/>
    <w:rsid w:val="00B57AC4"/>
    <w:rsid w:val="00B65B0E"/>
    <w:rsid w:val="00B722AF"/>
    <w:rsid w:val="00B767D8"/>
    <w:rsid w:val="00B873F1"/>
    <w:rsid w:val="00B97219"/>
    <w:rsid w:val="00B97A55"/>
    <w:rsid w:val="00BA2D59"/>
    <w:rsid w:val="00BA6C69"/>
    <w:rsid w:val="00BB1B6E"/>
    <w:rsid w:val="00BB20A0"/>
    <w:rsid w:val="00BB376F"/>
    <w:rsid w:val="00BB7A08"/>
    <w:rsid w:val="00BC7431"/>
    <w:rsid w:val="00BD433D"/>
    <w:rsid w:val="00BF2C1C"/>
    <w:rsid w:val="00BF324B"/>
    <w:rsid w:val="00BF43D0"/>
    <w:rsid w:val="00BF6FAB"/>
    <w:rsid w:val="00C06465"/>
    <w:rsid w:val="00C1235C"/>
    <w:rsid w:val="00C14CC7"/>
    <w:rsid w:val="00C27B8C"/>
    <w:rsid w:val="00C37927"/>
    <w:rsid w:val="00C43612"/>
    <w:rsid w:val="00C465B7"/>
    <w:rsid w:val="00C50A27"/>
    <w:rsid w:val="00C56103"/>
    <w:rsid w:val="00C86C09"/>
    <w:rsid w:val="00C878FA"/>
    <w:rsid w:val="00C90BD3"/>
    <w:rsid w:val="00CA6C8F"/>
    <w:rsid w:val="00CA7CCD"/>
    <w:rsid w:val="00CB1EF3"/>
    <w:rsid w:val="00CB677C"/>
    <w:rsid w:val="00CB6899"/>
    <w:rsid w:val="00CC13B6"/>
    <w:rsid w:val="00CC627D"/>
    <w:rsid w:val="00CD634C"/>
    <w:rsid w:val="00CE5AA8"/>
    <w:rsid w:val="00D036E4"/>
    <w:rsid w:val="00D127C4"/>
    <w:rsid w:val="00D22BD4"/>
    <w:rsid w:val="00D37FBF"/>
    <w:rsid w:val="00D406AA"/>
    <w:rsid w:val="00D43F06"/>
    <w:rsid w:val="00D4510D"/>
    <w:rsid w:val="00D53BB5"/>
    <w:rsid w:val="00D76C23"/>
    <w:rsid w:val="00D81EEB"/>
    <w:rsid w:val="00D90745"/>
    <w:rsid w:val="00D93A0B"/>
    <w:rsid w:val="00D94A1A"/>
    <w:rsid w:val="00D970FA"/>
    <w:rsid w:val="00DB5255"/>
    <w:rsid w:val="00DB5555"/>
    <w:rsid w:val="00DD435A"/>
    <w:rsid w:val="00DD5E27"/>
    <w:rsid w:val="00DD77E3"/>
    <w:rsid w:val="00DE055F"/>
    <w:rsid w:val="00DE6F82"/>
    <w:rsid w:val="00DF6F5A"/>
    <w:rsid w:val="00E21751"/>
    <w:rsid w:val="00E47681"/>
    <w:rsid w:val="00E547D5"/>
    <w:rsid w:val="00E56313"/>
    <w:rsid w:val="00E572D1"/>
    <w:rsid w:val="00E661BA"/>
    <w:rsid w:val="00E67B6B"/>
    <w:rsid w:val="00E720F4"/>
    <w:rsid w:val="00EA23BE"/>
    <w:rsid w:val="00EA52AE"/>
    <w:rsid w:val="00EA541E"/>
    <w:rsid w:val="00EC7FF6"/>
    <w:rsid w:val="00EE053F"/>
    <w:rsid w:val="00EE4E54"/>
    <w:rsid w:val="00EF48F4"/>
    <w:rsid w:val="00F000A1"/>
    <w:rsid w:val="00F06168"/>
    <w:rsid w:val="00F1203A"/>
    <w:rsid w:val="00F300D2"/>
    <w:rsid w:val="00F34AC5"/>
    <w:rsid w:val="00F4442F"/>
    <w:rsid w:val="00F45551"/>
    <w:rsid w:val="00F5156E"/>
    <w:rsid w:val="00F576EB"/>
    <w:rsid w:val="00F61D65"/>
    <w:rsid w:val="00F65E50"/>
    <w:rsid w:val="00F8396A"/>
    <w:rsid w:val="00F96D44"/>
    <w:rsid w:val="00F96F28"/>
    <w:rsid w:val="00FA17A0"/>
    <w:rsid w:val="00FC1D6D"/>
    <w:rsid w:val="00FD091C"/>
    <w:rsid w:val="00FF229D"/>
    <w:rsid w:val="00FF2F9D"/>
    <w:rsid w:val="00FF6CAD"/>
    <w:rsid w:val="00FF78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F16"/>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99"/>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99"/>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61599A"/>
    <w:pPr>
      <w:spacing w:after="120"/>
    </w:pPr>
  </w:style>
  <w:style w:type="character" w:customStyle="1" w:styleId="BodyTextChar">
    <w:name w:val="Body Text Char"/>
    <w:link w:val="BodyText"/>
    <w:uiPriority w:val="99"/>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6A465C"/>
    <w:rPr>
      <w:color w:val="605E5C"/>
      <w:shd w:val="clear" w:color="auto" w:fill="E1DFDD"/>
    </w:rPr>
  </w:style>
  <w:style w:type="paragraph" w:styleId="ListParagraph">
    <w:name w:val="List Paragraph"/>
    <w:basedOn w:val="Normal"/>
    <w:uiPriority w:val="34"/>
    <w:qFormat/>
    <w:rsid w:val="00A66E26"/>
    <w:pPr>
      <w:ind w:left="720"/>
      <w:contextualSpacing/>
    </w:pPr>
  </w:style>
  <w:style w:type="table" w:styleId="PlainTable2">
    <w:name w:val="Plain Table 2"/>
    <w:basedOn w:val="TableNormal"/>
    <w:uiPriority w:val="42"/>
    <w:rsid w:val="008E5C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ulletdash">
    <w:name w:val="Table bullet (dash)"/>
    <w:basedOn w:val="TableBullet"/>
    <w:qFormat/>
    <w:rsid w:val="003C4BEA"/>
    <w:pPr>
      <w:numPr>
        <w:numId w:val="13"/>
      </w:numPr>
    </w:pPr>
    <w:rPr>
      <w:lang w:val="en-GB"/>
    </w:rPr>
  </w:style>
  <w:style w:type="paragraph" w:customStyle="1" w:styleId="Bullet0">
    <w:name w:val="• Bullet"/>
    <w:basedOn w:val="Normal"/>
    <w:uiPriority w:val="99"/>
    <w:rsid w:val="00B97219"/>
    <w:pPr>
      <w:widowControl w:val="0"/>
      <w:suppressAutoHyphens/>
      <w:autoSpaceDE w:val="0"/>
      <w:autoSpaceDN w:val="0"/>
      <w:adjustRightInd w:val="0"/>
      <w:spacing w:after="57" w:line="230" w:lineRule="atLeast"/>
      <w:ind w:left="227" w:hanging="227"/>
      <w:textAlignment w:val="center"/>
    </w:pPr>
    <w:rPr>
      <w:rFonts w:ascii="VIC Light" w:eastAsiaTheme="minorEastAsia" w:hAnsi="VIC Light" w:cs="VIC Light"/>
      <w:color w:val="000000"/>
      <w:spacing w:val="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223831596">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bs.vic.gov.au/about-jobs-victoria/our-programs/jobs-victoria-fund?utm_source=jobs.vic.gov.au&amp;utm_medium=vanity-url-301ssredirect&amp;utm_content=fund&amp;utm_campaign=jobs" TargetMode="External"/><Relationship Id="rId18" Type="http://schemas.openxmlformats.org/officeDocument/2006/relationships/hyperlink" Target="https://www.nationalredress.gov.au/about" TargetMode="External"/><Relationship Id="rId26" Type="http://schemas.openxmlformats.org/officeDocument/2006/relationships/hyperlink" Target="https://www.fairwork.gov.au/tools-and-resources/fact-sheets/minimum-workplace-entitlements/introduction-to-the-national-employment-standards" TargetMode="External"/><Relationship Id="rId39" Type="http://schemas.openxmlformats.org/officeDocument/2006/relationships/hyperlink" Target="https://jobs.vic.gov.au/help-for-jobseekers/find-support-in-your-local-area" TargetMode="External"/><Relationship Id="rId21" Type="http://schemas.openxmlformats.org/officeDocument/2006/relationships/hyperlink" Target="mailto:info@jobs.vic.gov.au" TargetMode="External"/><Relationship Id="rId34" Type="http://schemas.openxmlformats.org/officeDocument/2006/relationships/hyperlink" Target="https://www.dhhs.vic.gov.au/coronavirus" TargetMode="External"/><Relationship Id="rId42" Type="http://schemas.openxmlformats.org/officeDocument/2006/relationships/hyperlink" Target="https://www.fairwork.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jobs.vic.gov.au" TargetMode="External"/><Relationship Id="rId29" Type="http://schemas.openxmlformats.org/officeDocument/2006/relationships/hyperlink" Target="https://www.vic.gov.au/wage-inspectorate-victo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vic.gov.au/about-jobs-victoria/our-programs/jobs-victoria-fund?utm_source=jobs.vic.gov.au&amp;utm_medium=vanity-url-301ssredirect&amp;utm_content=fund&amp;utm_campaign=jobs" TargetMode="External"/><Relationship Id="rId24" Type="http://schemas.openxmlformats.org/officeDocument/2006/relationships/hyperlink" Target="https://www.vic.gov.au/advertising-government-communications" TargetMode="External"/><Relationship Id="rId32" Type="http://schemas.openxmlformats.org/officeDocument/2006/relationships/hyperlink" Target="https://www.coinvest.com.au/" TargetMode="External"/><Relationship Id="rId37" Type="http://schemas.openxmlformats.org/officeDocument/2006/relationships/hyperlink" Target="mailto:info@jobs.vic.gov.au" TargetMode="External"/><Relationship Id="rId40" Type="http://schemas.openxmlformats.org/officeDocument/2006/relationships/hyperlink" Target="mailto:info@jobs.vic.gov.au"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irwork.gov.au/employee-entitlements/types-of-employees/casual-part-time-and-full-time/casual-employees" TargetMode="External"/><Relationship Id="rId23" Type="http://schemas.openxmlformats.org/officeDocument/2006/relationships/hyperlink" Target="mailto:privacy@ecodev.vic.gov.au" TargetMode="External"/><Relationship Id="rId28" Type="http://schemas.openxmlformats.org/officeDocument/2006/relationships/hyperlink" Target="https://www.fairwork.gov.au/" TargetMode="External"/><Relationship Id="rId36" Type="http://schemas.openxmlformats.org/officeDocument/2006/relationships/hyperlink" Target="https://jobs.vic.gov.au/" TargetMode="External"/><Relationship Id="rId10" Type="http://schemas.openxmlformats.org/officeDocument/2006/relationships/endnotes" Target="endnotes.xml"/><Relationship Id="rId19" Type="http://schemas.openxmlformats.org/officeDocument/2006/relationships/hyperlink" Target="https://jobs.vic.gov.au/about-jobs-victoria/our-programs/jobs-victoria-fund?utm_source=jobs.vic.gov.au&amp;utm_medium=vanity-url-301ssredirect&amp;utm_content=fund&amp;utm_campaign=jobs" TargetMode="External"/><Relationship Id="rId31" Type="http://schemas.openxmlformats.org/officeDocument/2006/relationships/hyperlink" Target="https://www.vic.gov.au/wage-inspectorate-victoria"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vic.gov.au/about-jobs-victoria/our-programs/jobs-victoria-fund/documents/Jobs-Victoria-Fund-Employee-Consent-Form.pdf" TargetMode="External"/><Relationship Id="rId22" Type="http://schemas.openxmlformats.org/officeDocument/2006/relationships/hyperlink" Target="https://djpr.vic.gov.au/privacy" TargetMode="External"/><Relationship Id="rId27" Type="http://schemas.openxmlformats.org/officeDocument/2006/relationships/hyperlink" Target="https://calculate.fairwork.gov.au/" TargetMode="External"/><Relationship Id="rId30" Type="http://schemas.openxmlformats.org/officeDocument/2006/relationships/hyperlink" Target="https://www.vic.gov.au/wage-inspectorate-victoria" TargetMode="External"/><Relationship Id="rId35" Type="http://schemas.openxmlformats.org/officeDocument/2006/relationships/hyperlink" Target="https://www.worksafe.vic.gov.au/" TargetMode="External"/><Relationship Id="rId43" Type="http://schemas.openxmlformats.org/officeDocument/2006/relationships/hyperlink" Target="https://www.buyingfor.vic.gov.au/victorias-social-procurement-framework" TargetMode="External"/><Relationship Id="rId48" Type="http://schemas.openxmlformats.org/officeDocument/2006/relationships/customXml" Target="../customXml/item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jobs.vic.gov.au" TargetMode="External"/><Relationship Id="rId17" Type="http://schemas.openxmlformats.org/officeDocument/2006/relationships/hyperlink" Target="https://fac.dhhs.vic.gov.au/victorian-funding-requirements-service-children-fact-sheet" TargetMode="External"/><Relationship Id="rId25" Type="http://schemas.openxmlformats.org/officeDocument/2006/relationships/hyperlink" Target="https://www.coronavirus.vic.gov.au/covidsafe-workplaces" TargetMode="External"/><Relationship Id="rId33" Type="http://schemas.openxmlformats.org/officeDocument/2006/relationships/hyperlink" Target="https://www.vic.gov.au/portable-long-service" TargetMode="External"/><Relationship Id="rId38" Type="http://schemas.openxmlformats.org/officeDocument/2006/relationships/hyperlink" Target="https://jobs.vic.gov.au/help-for-employers/register-to-find-workers" TargetMode="External"/><Relationship Id="rId46" Type="http://schemas.openxmlformats.org/officeDocument/2006/relationships/fontTable" Target="fontTable.xml"/><Relationship Id="rId20" Type="http://schemas.openxmlformats.org/officeDocument/2006/relationships/hyperlink" Target="https://jobs.vic.gov.au/about-jobs-victoria/our-programs/jobs-victoria-fund?utm_source=jobs.vic.gov.au&amp;utm_medium=vanity-url-301ssredirect&amp;utm_content=fund&amp;utm_campaign=jobs" TargetMode="External"/><Relationship Id="rId41" Type="http://schemas.openxmlformats.org/officeDocument/2006/relationships/hyperlink" Target="https://www.nationalredr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5" ma:contentTypeDescription="Create a new document." ma:contentTypeScope="" ma:versionID="eb4b1db4de96b980febae6a60638958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a3751e3adc1b280cc3a05caed73e8640"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ubcategory xmlns="6e188642-342e-45ce-83fc-2720214a8a9c" xsi:nil="true"/>
    <Status xmlns="6e188642-342e-45ce-83fc-2720214a8a9c" xsi:nil="true"/>
    <Purpose xmlns="6e188642-342e-45ce-83fc-2720214a8a9c" xsi:nil="true"/>
    <_dlc_DocId xmlns="8a322ce9-4c1f-461b-ac3c-1e06b80bf95c">FJ6FTHYPSYRK-865624468-89738</_dlc_DocId>
    <_dlc_DocIdUrl xmlns="8a322ce9-4c1f-461b-ac3c-1e06b80bf95c">
      <Url>https://vicgov.sharepoint.com/sites/VG000973/_layouts/15/DocIdRedir.aspx?ID=FJ6FTHYPSYRK-865624468-89738</Url>
      <Description>FJ6FTHYPSYRK-865624468-89738</Description>
    </_dlc_DocIdUrl>
    <SharedWithUsers xmlns="8a322ce9-4c1f-461b-ac3c-1e06b80bf95c">
      <UserInfo>
        <DisplayName>Genevieve E Hargrave (DJPR)</DisplayName>
        <AccountId>450</AccountId>
        <AccountType/>
      </UserInfo>
      <UserInfo>
        <DisplayName>Anna Leonedas (DJPR)</DisplayName>
        <AccountId>1355</AccountId>
        <AccountType/>
      </UserInfo>
      <UserInfo>
        <DisplayName>Shivaan Bardolia (DJPR)</DisplayName>
        <AccountId>204</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77FCFA-868C-4D5E-9DB8-470EAF0CD099}">
  <ds:schemaRefs>
    <ds:schemaRef ds:uri="http://schemas.microsoft.com/sharepoint/v3/contenttype/forms"/>
  </ds:schemaRefs>
</ds:datastoreItem>
</file>

<file path=customXml/itemProps2.xml><?xml version="1.0" encoding="utf-8"?>
<ds:datastoreItem xmlns:ds="http://schemas.openxmlformats.org/officeDocument/2006/customXml" ds:itemID="{86D34CEB-2EF9-44C1-9B18-9D5142C38713}"/>
</file>

<file path=customXml/itemProps3.xml><?xml version="1.0" encoding="utf-8"?>
<ds:datastoreItem xmlns:ds="http://schemas.openxmlformats.org/officeDocument/2006/customXml" ds:itemID="{EA192E2C-4FB4-E34B-B071-DE720BF695F1}">
  <ds:schemaRefs>
    <ds:schemaRef ds:uri="http://schemas.openxmlformats.org/officeDocument/2006/bibliography"/>
  </ds:schemaRefs>
</ds:datastoreItem>
</file>

<file path=customXml/itemProps4.xml><?xml version="1.0" encoding="utf-8"?>
<ds:datastoreItem xmlns:ds="http://schemas.openxmlformats.org/officeDocument/2006/customXml" ds:itemID="{FA060281-D3D1-4B4D-A531-54A5B2A9E9ED}">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5.xml><?xml version="1.0" encoding="utf-8"?>
<ds:datastoreItem xmlns:ds="http://schemas.openxmlformats.org/officeDocument/2006/customXml" ds:itemID="{9115428A-5D23-48FB-98CB-4C3CB220DED0}"/>
</file>

<file path=docProps/app.xml><?xml version="1.0" encoding="utf-8"?>
<Properties xmlns="http://schemas.openxmlformats.org/officeDocument/2006/extended-properties" xmlns:vt="http://schemas.openxmlformats.org/officeDocument/2006/docPropsVTypes">
  <Template>Normal.dotm</Template>
  <TotalTime>1</TotalTime>
  <Pages>20</Pages>
  <Words>8852</Words>
  <Characters>50459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Victoria’s Medicinal Cannabis Industry</vt:lpstr>
    </vt:vector>
  </TitlesOfParts>
  <Manager/>
  <Company>Jobs Victoria</Company>
  <LinksUpToDate>false</LinksUpToDate>
  <CharactersWithSpaces>59193</CharactersWithSpaces>
  <SharedDoc>false</SharedDoc>
  <HyperlinkBase/>
  <HLinks>
    <vt:vector size="240" baseType="variant">
      <vt:variant>
        <vt:i4>5505131</vt:i4>
      </vt:variant>
      <vt:variant>
        <vt:i4>257</vt:i4>
      </vt:variant>
      <vt:variant>
        <vt:i4>0</vt:i4>
      </vt:variant>
      <vt:variant>
        <vt:i4>5</vt:i4>
      </vt:variant>
      <vt:variant>
        <vt:lpwstr>mailto:info@jobs.vic.gov.au</vt:lpwstr>
      </vt:variant>
      <vt:variant>
        <vt:lpwstr/>
      </vt:variant>
      <vt:variant>
        <vt:i4>5308537</vt:i4>
      </vt:variant>
      <vt:variant>
        <vt:i4>254</vt:i4>
      </vt:variant>
      <vt:variant>
        <vt:i4>0</vt:i4>
      </vt:variant>
      <vt:variant>
        <vt:i4>5</vt:i4>
      </vt:variant>
      <vt:variant>
        <vt:lpwstr>mailto:privacy@ecodev.vic.gov.au</vt:lpwstr>
      </vt:variant>
      <vt:variant>
        <vt:lpwstr/>
      </vt:variant>
      <vt:variant>
        <vt:i4>327731</vt:i4>
      </vt:variant>
      <vt:variant>
        <vt:i4>219</vt:i4>
      </vt:variant>
      <vt:variant>
        <vt:i4>0</vt:i4>
      </vt:variant>
      <vt:variant>
        <vt:i4>5</vt:i4>
      </vt:variant>
      <vt:variant>
        <vt:lpwstr>mailto:info@jobsvic.vic.gov.au</vt:lpwstr>
      </vt:variant>
      <vt:variant>
        <vt:lpwstr/>
      </vt:variant>
      <vt:variant>
        <vt:i4>5505131</vt:i4>
      </vt:variant>
      <vt:variant>
        <vt:i4>216</vt:i4>
      </vt:variant>
      <vt:variant>
        <vt:i4>0</vt:i4>
      </vt:variant>
      <vt:variant>
        <vt:i4>5</vt:i4>
      </vt:variant>
      <vt:variant>
        <vt:lpwstr>mailto:info@jobs.vic.gov.au</vt:lpwstr>
      </vt:variant>
      <vt:variant>
        <vt:lpwstr/>
      </vt:variant>
      <vt:variant>
        <vt:i4>5898332</vt:i4>
      </vt:variant>
      <vt:variant>
        <vt:i4>213</vt:i4>
      </vt:variant>
      <vt:variant>
        <vt:i4>0</vt:i4>
      </vt:variant>
      <vt:variant>
        <vt:i4>5</vt:i4>
      </vt:variant>
      <vt:variant>
        <vt:lpwstr>https://jobs.vic.gov.au/about-jobs-victoria/our-programs/jobs-victoria-fund?utm_source=jobs.vic.gov.au&amp;utm_medium=vanity-url-301ssredirect&amp;utm_content=fund&amp;utm_campaign=jobs</vt:lpwstr>
      </vt:variant>
      <vt:variant>
        <vt:lpwstr/>
      </vt:variant>
      <vt:variant>
        <vt:i4>1638463</vt:i4>
      </vt:variant>
      <vt:variant>
        <vt:i4>206</vt:i4>
      </vt:variant>
      <vt:variant>
        <vt:i4>0</vt:i4>
      </vt:variant>
      <vt:variant>
        <vt:i4>5</vt:i4>
      </vt:variant>
      <vt:variant>
        <vt:lpwstr/>
      </vt:variant>
      <vt:variant>
        <vt:lpwstr>_Toc67585392</vt:lpwstr>
      </vt:variant>
      <vt:variant>
        <vt:i4>1703999</vt:i4>
      </vt:variant>
      <vt:variant>
        <vt:i4>200</vt:i4>
      </vt:variant>
      <vt:variant>
        <vt:i4>0</vt:i4>
      </vt:variant>
      <vt:variant>
        <vt:i4>5</vt:i4>
      </vt:variant>
      <vt:variant>
        <vt:lpwstr/>
      </vt:variant>
      <vt:variant>
        <vt:lpwstr>_Toc67585391</vt:lpwstr>
      </vt:variant>
      <vt:variant>
        <vt:i4>1769535</vt:i4>
      </vt:variant>
      <vt:variant>
        <vt:i4>194</vt:i4>
      </vt:variant>
      <vt:variant>
        <vt:i4>0</vt:i4>
      </vt:variant>
      <vt:variant>
        <vt:i4>5</vt:i4>
      </vt:variant>
      <vt:variant>
        <vt:lpwstr/>
      </vt:variant>
      <vt:variant>
        <vt:lpwstr>_Toc67585390</vt:lpwstr>
      </vt:variant>
      <vt:variant>
        <vt:i4>1179710</vt:i4>
      </vt:variant>
      <vt:variant>
        <vt:i4>188</vt:i4>
      </vt:variant>
      <vt:variant>
        <vt:i4>0</vt:i4>
      </vt:variant>
      <vt:variant>
        <vt:i4>5</vt:i4>
      </vt:variant>
      <vt:variant>
        <vt:lpwstr/>
      </vt:variant>
      <vt:variant>
        <vt:lpwstr>_Toc67585389</vt:lpwstr>
      </vt:variant>
      <vt:variant>
        <vt:i4>1245246</vt:i4>
      </vt:variant>
      <vt:variant>
        <vt:i4>182</vt:i4>
      </vt:variant>
      <vt:variant>
        <vt:i4>0</vt:i4>
      </vt:variant>
      <vt:variant>
        <vt:i4>5</vt:i4>
      </vt:variant>
      <vt:variant>
        <vt:lpwstr/>
      </vt:variant>
      <vt:variant>
        <vt:lpwstr>_Toc67585388</vt:lpwstr>
      </vt:variant>
      <vt:variant>
        <vt:i4>1835070</vt:i4>
      </vt:variant>
      <vt:variant>
        <vt:i4>176</vt:i4>
      </vt:variant>
      <vt:variant>
        <vt:i4>0</vt:i4>
      </vt:variant>
      <vt:variant>
        <vt:i4>5</vt:i4>
      </vt:variant>
      <vt:variant>
        <vt:lpwstr/>
      </vt:variant>
      <vt:variant>
        <vt:lpwstr>_Toc67585387</vt:lpwstr>
      </vt:variant>
      <vt:variant>
        <vt:i4>1900606</vt:i4>
      </vt:variant>
      <vt:variant>
        <vt:i4>170</vt:i4>
      </vt:variant>
      <vt:variant>
        <vt:i4>0</vt:i4>
      </vt:variant>
      <vt:variant>
        <vt:i4>5</vt:i4>
      </vt:variant>
      <vt:variant>
        <vt:lpwstr/>
      </vt:variant>
      <vt:variant>
        <vt:lpwstr>_Toc67585386</vt:lpwstr>
      </vt:variant>
      <vt:variant>
        <vt:i4>1966142</vt:i4>
      </vt:variant>
      <vt:variant>
        <vt:i4>164</vt:i4>
      </vt:variant>
      <vt:variant>
        <vt:i4>0</vt:i4>
      </vt:variant>
      <vt:variant>
        <vt:i4>5</vt:i4>
      </vt:variant>
      <vt:variant>
        <vt:lpwstr/>
      </vt:variant>
      <vt:variant>
        <vt:lpwstr>_Toc67585385</vt:lpwstr>
      </vt:variant>
      <vt:variant>
        <vt:i4>2031678</vt:i4>
      </vt:variant>
      <vt:variant>
        <vt:i4>158</vt:i4>
      </vt:variant>
      <vt:variant>
        <vt:i4>0</vt:i4>
      </vt:variant>
      <vt:variant>
        <vt:i4>5</vt:i4>
      </vt:variant>
      <vt:variant>
        <vt:lpwstr/>
      </vt:variant>
      <vt:variant>
        <vt:lpwstr>_Toc67585384</vt:lpwstr>
      </vt:variant>
      <vt:variant>
        <vt:i4>1572926</vt:i4>
      </vt:variant>
      <vt:variant>
        <vt:i4>152</vt:i4>
      </vt:variant>
      <vt:variant>
        <vt:i4>0</vt:i4>
      </vt:variant>
      <vt:variant>
        <vt:i4>5</vt:i4>
      </vt:variant>
      <vt:variant>
        <vt:lpwstr/>
      </vt:variant>
      <vt:variant>
        <vt:lpwstr>_Toc67585383</vt:lpwstr>
      </vt:variant>
      <vt:variant>
        <vt:i4>1638462</vt:i4>
      </vt:variant>
      <vt:variant>
        <vt:i4>146</vt:i4>
      </vt:variant>
      <vt:variant>
        <vt:i4>0</vt:i4>
      </vt:variant>
      <vt:variant>
        <vt:i4>5</vt:i4>
      </vt:variant>
      <vt:variant>
        <vt:lpwstr/>
      </vt:variant>
      <vt:variant>
        <vt:lpwstr>_Toc67585382</vt:lpwstr>
      </vt:variant>
      <vt:variant>
        <vt:i4>1703998</vt:i4>
      </vt:variant>
      <vt:variant>
        <vt:i4>140</vt:i4>
      </vt:variant>
      <vt:variant>
        <vt:i4>0</vt:i4>
      </vt:variant>
      <vt:variant>
        <vt:i4>5</vt:i4>
      </vt:variant>
      <vt:variant>
        <vt:lpwstr/>
      </vt:variant>
      <vt:variant>
        <vt:lpwstr>_Toc67585381</vt:lpwstr>
      </vt:variant>
      <vt:variant>
        <vt:i4>1769534</vt:i4>
      </vt:variant>
      <vt:variant>
        <vt:i4>134</vt:i4>
      </vt:variant>
      <vt:variant>
        <vt:i4>0</vt:i4>
      </vt:variant>
      <vt:variant>
        <vt:i4>5</vt:i4>
      </vt:variant>
      <vt:variant>
        <vt:lpwstr/>
      </vt:variant>
      <vt:variant>
        <vt:lpwstr>_Toc67585380</vt:lpwstr>
      </vt:variant>
      <vt:variant>
        <vt:i4>1179697</vt:i4>
      </vt:variant>
      <vt:variant>
        <vt:i4>128</vt:i4>
      </vt:variant>
      <vt:variant>
        <vt:i4>0</vt:i4>
      </vt:variant>
      <vt:variant>
        <vt:i4>5</vt:i4>
      </vt:variant>
      <vt:variant>
        <vt:lpwstr/>
      </vt:variant>
      <vt:variant>
        <vt:lpwstr>_Toc67585379</vt:lpwstr>
      </vt:variant>
      <vt:variant>
        <vt:i4>1245233</vt:i4>
      </vt:variant>
      <vt:variant>
        <vt:i4>122</vt:i4>
      </vt:variant>
      <vt:variant>
        <vt:i4>0</vt:i4>
      </vt:variant>
      <vt:variant>
        <vt:i4>5</vt:i4>
      </vt:variant>
      <vt:variant>
        <vt:lpwstr/>
      </vt:variant>
      <vt:variant>
        <vt:lpwstr>_Toc67585378</vt:lpwstr>
      </vt:variant>
      <vt:variant>
        <vt:i4>1835057</vt:i4>
      </vt:variant>
      <vt:variant>
        <vt:i4>116</vt:i4>
      </vt:variant>
      <vt:variant>
        <vt:i4>0</vt:i4>
      </vt:variant>
      <vt:variant>
        <vt:i4>5</vt:i4>
      </vt:variant>
      <vt:variant>
        <vt:lpwstr/>
      </vt:variant>
      <vt:variant>
        <vt:lpwstr>_Toc67585377</vt:lpwstr>
      </vt:variant>
      <vt:variant>
        <vt:i4>1900593</vt:i4>
      </vt:variant>
      <vt:variant>
        <vt:i4>110</vt:i4>
      </vt:variant>
      <vt:variant>
        <vt:i4>0</vt:i4>
      </vt:variant>
      <vt:variant>
        <vt:i4>5</vt:i4>
      </vt:variant>
      <vt:variant>
        <vt:lpwstr/>
      </vt:variant>
      <vt:variant>
        <vt:lpwstr>_Toc67585376</vt:lpwstr>
      </vt:variant>
      <vt:variant>
        <vt:i4>1966129</vt:i4>
      </vt:variant>
      <vt:variant>
        <vt:i4>104</vt:i4>
      </vt:variant>
      <vt:variant>
        <vt:i4>0</vt:i4>
      </vt:variant>
      <vt:variant>
        <vt:i4>5</vt:i4>
      </vt:variant>
      <vt:variant>
        <vt:lpwstr/>
      </vt:variant>
      <vt:variant>
        <vt:lpwstr>_Toc67585375</vt:lpwstr>
      </vt:variant>
      <vt:variant>
        <vt:i4>2031665</vt:i4>
      </vt:variant>
      <vt:variant>
        <vt:i4>98</vt:i4>
      </vt:variant>
      <vt:variant>
        <vt:i4>0</vt:i4>
      </vt:variant>
      <vt:variant>
        <vt:i4>5</vt:i4>
      </vt:variant>
      <vt:variant>
        <vt:lpwstr/>
      </vt:variant>
      <vt:variant>
        <vt:lpwstr>_Toc67585374</vt:lpwstr>
      </vt:variant>
      <vt:variant>
        <vt:i4>1572913</vt:i4>
      </vt:variant>
      <vt:variant>
        <vt:i4>92</vt:i4>
      </vt:variant>
      <vt:variant>
        <vt:i4>0</vt:i4>
      </vt:variant>
      <vt:variant>
        <vt:i4>5</vt:i4>
      </vt:variant>
      <vt:variant>
        <vt:lpwstr/>
      </vt:variant>
      <vt:variant>
        <vt:lpwstr>_Toc67585373</vt:lpwstr>
      </vt:variant>
      <vt:variant>
        <vt:i4>1638449</vt:i4>
      </vt:variant>
      <vt:variant>
        <vt:i4>86</vt:i4>
      </vt:variant>
      <vt:variant>
        <vt:i4>0</vt:i4>
      </vt:variant>
      <vt:variant>
        <vt:i4>5</vt:i4>
      </vt:variant>
      <vt:variant>
        <vt:lpwstr/>
      </vt:variant>
      <vt:variant>
        <vt:lpwstr>_Toc67585372</vt:lpwstr>
      </vt:variant>
      <vt:variant>
        <vt:i4>1703985</vt:i4>
      </vt:variant>
      <vt:variant>
        <vt:i4>80</vt:i4>
      </vt:variant>
      <vt:variant>
        <vt:i4>0</vt:i4>
      </vt:variant>
      <vt:variant>
        <vt:i4>5</vt:i4>
      </vt:variant>
      <vt:variant>
        <vt:lpwstr/>
      </vt:variant>
      <vt:variant>
        <vt:lpwstr>_Toc67585371</vt:lpwstr>
      </vt:variant>
      <vt:variant>
        <vt:i4>1769521</vt:i4>
      </vt:variant>
      <vt:variant>
        <vt:i4>74</vt:i4>
      </vt:variant>
      <vt:variant>
        <vt:i4>0</vt:i4>
      </vt:variant>
      <vt:variant>
        <vt:i4>5</vt:i4>
      </vt:variant>
      <vt:variant>
        <vt:lpwstr/>
      </vt:variant>
      <vt:variant>
        <vt:lpwstr>_Toc67585370</vt:lpwstr>
      </vt:variant>
      <vt:variant>
        <vt:i4>1179696</vt:i4>
      </vt:variant>
      <vt:variant>
        <vt:i4>68</vt:i4>
      </vt:variant>
      <vt:variant>
        <vt:i4>0</vt:i4>
      </vt:variant>
      <vt:variant>
        <vt:i4>5</vt:i4>
      </vt:variant>
      <vt:variant>
        <vt:lpwstr/>
      </vt:variant>
      <vt:variant>
        <vt:lpwstr>_Toc67585369</vt:lpwstr>
      </vt:variant>
      <vt:variant>
        <vt:i4>1245232</vt:i4>
      </vt:variant>
      <vt:variant>
        <vt:i4>62</vt:i4>
      </vt:variant>
      <vt:variant>
        <vt:i4>0</vt:i4>
      </vt:variant>
      <vt:variant>
        <vt:i4>5</vt:i4>
      </vt:variant>
      <vt:variant>
        <vt:lpwstr/>
      </vt:variant>
      <vt:variant>
        <vt:lpwstr>_Toc67585368</vt:lpwstr>
      </vt:variant>
      <vt:variant>
        <vt:i4>1835056</vt:i4>
      </vt:variant>
      <vt:variant>
        <vt:i4>56</vt:i4>
      </vt:variant>
      <vt:variant>
        <vt:i4>0</vt:i4>
      </vt:variant>
      <vt:variant>
        <vt:i4>5</vt:i4>
      </vt:variant>
      <vt:variant>
        <vt:lpwstr/>
      </vt:variant>
      <vt:variant>
        <vt:lpwstr>_Toc67585367</vt:lpwstr>
      </vt:variant>
      <vt:variant>
        <vt:i4>1900592</vt:i4>
      </vt:variant>
      <vt:variant>
        <vt:i4>50</vt:i4>
      </vt:variant>
      <vt:variant>
        <vt:i4>0</vt:i4>
      </vt:variant>
      <vt:variant>
        <vt:i4>5</vt:i4>
      </vt:variant>
      <vt:variant>
        <vt:lpwstr/>
      </vt:variant>
      <vt:variant>
        <vt:lpwstr>_Toc67585366</vt:lpwstr>
      </vt:variant>
      <vt:variant>
        <vt:i4>1966128</vt:i4>
      </vt:variant>
      <vt:variant>
        <vt:i4>44</vt:i4>
      </vt:variant>
      <vt:variant>
        <vt:i4>0</vt:i4>
      </vt:variant>
      <vt:variant>
        <vt:i4>5</vt:i4>
      </vt:variant>
      <vt:variant>
        <vt:lpwstr/>
      </vt:variant>
      <vt:variant>
        <vt:lpwstr>_Toc67585365</vt:lpwstr>
      </vt:variant>
      <vt:variant>
        <vt:i4>2031664</vt:i4>
      </vt:variant>
      <vt:variant>
        <vt:i4>38</vt:i4>
      </vt:variant>
      <vt:variant>
        <vt:i4>0</vt:i4>
      </vt:variant>
      <vt:variant>
        <vt:i4>5</vt:i4>
      </vt:variant>
      <vt:variant>
        <vt:lpwstr/>
      </vt:variant>
      <vt:variant>
        <vt:lpwstr>_Toc67585364</vt:lpwstr>
      </vt:variant>
      <vt:variant>
        <vt:i4>1572912</vt:i4>
      </vt:variant>
      <vt:variant>
        <vt:i4>32</vt:i4>
      </vt:variant>
      <vt:variant>
        <vt:i4>0</vt:i4>
      </vt:variant>
      <vt:variant>
        <vt:i4>5</vt:i4>
      </vt:variant>
      <vt:variant>
        <vt:lpwstr/>
      </vt:variant>
      <vt:variant>
        <vt:lpwstr>_Toc67585363</vt:lpwstr>
      </vt:variant>
      <vt:variant>
        <vt:i4>1638448</vt:i4>
      </vt:variant>
      <vt:variant>
        <vt:i4>26</vt:i4>
      </vt:variant>
      <vt:variant>
        <vt:i4>0</vt:i4>
      </vt:variant>
      <vt:variant>
        <vt:i4>5</vt:i4>
      </vt:variant>
      <vt:variant>
        <vt:lpwstr/>
      </vt:variant>
      <vt:variant>
        <vt:lpwstr>_Toc67585362</vt:lpwstr>
      </vt:variant>
      <vt:variant>
        <vt:i4>1703984</vt:i4>
      </vt:variant>
      <vt:variant>
        <vt:i4>20</vt:i4>
      </vt:variant>
      <vt:variant>
        <vt:i4>0</vt:i4>
      </vt:variant>
      <vt:variant>
        <vt:i4>5</vt:i4>
      </vt:variant>
      <vt:variant>
        <vt:lpwstr/>
      </vt:variant>
      <vt:variant>
        <vt:lpwstr>_Toc67585361</vt:lpwstr>
      </vt:variant>
      <vt:variant>
        <vt:i4>1769520</vt:i4>
      </vt:variant>
      <vt:variant>
        <vt:i4>14</vt:i4>
      </vt:variant>
      <vt:variant>
        <vt:i4>0</vt:i4>
      </vt:variant>
      <vt:variant>
        <vt:i4>5</vt:i4>
      </vt:variant>
      <vt:variant>
        <vt:lpwstr/>
      </vt:variant>
      <vt:variant>
        <vt:lpwstr>_Toc67585360</vt:lpwstr>
      </vt:variant>
      <vt:variant>
        <vt:i4>1179699</vt:i4>
      </vt:variant>
      <vt:variant>
        <vt:i4>8</vt:i4>
      </vt:variant>
      <vt:variant>
        <vt:i4>0</vt:i4>
      </vt:variant>
      <vt:variant>
        <vt:i4>5</vt:i4>
      </vt:variant>
      <vt:variant>
        <vt:lpwstr/>
      </vt:variant>
      <vt:variant>
        <vt:lpwstr>_Toc67585359</vt:lpwstr>
      </vt:variant>
      <vt:variant>
        <vt:i4>1245235</vt:i4>
      </vt:variant>
      <vt:variant>
        <vt:i4>2</vt:i4>
      </vt:variant>
      <vt:variant>
        <vt:i4>0</vt:i4>
      </vt:variant>
      <vt:variant>
        <vt:i4>5</vt:i4>
      </vt:variant>
      <vt:variant>
        <vt:lpwstr/>
      </vt:variant>
      <vt:variant>
        <vt:lpwstr>_Toc67585358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Victoria Fund Guidelines</dc:title>
  <dc:subject>Jobs Victoria Fund Guidelines</dc:subject>
  <dc:creator>Jobs Victoria</dc:creator>
  <cp:keywords>Jobs Victoria Fund Guidelines</cp:keywords>
  <dc:description/>
  <cp:lastModifiedBy>Maryann Long</cp:lastModifiedBy>
  <cp:revision>2</cp:revision>
  <dcterms:created xsi:type="dcterms:W3CDTF">2021-04-27T07:03:00Z</dcterms:created>
  <dcterms:modified xsi:type="dcterms:W3CDTF">2021-04-27T07:03:00Z</dcterms:modified>
  <cp:category>Jobs Victoria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_dlc_DocIdItemGuid">
    <vt:lpwstr>61fbb44d-3f57-451f-acbd-838f5a708532</vt:lpwstr>
  </property>
</Properties>
</file>